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9D13" w14:textId="77777777" w:rsidR="00DC69C7" w:rsidRDefault="00DC69C7">
      <w:pPr>
        <w:jc w:val="both"/>
        <w:rPr>
          <w:rFonts w:ascii="Calibri" w:hAnsi="Calibri"/>
        </w:rPr>
      </w:pPr>
    </w:p>
    <w:p w14:paraId="6173A483" w14:textId="77777777" w:rsidR="00DC69C7" w:rsidRDefault="00DC69C7">
      <w:pPr>
        <w:jc w:val="both"/>
        <w:rPr>
          <w:rFonts w:ascii="Calibri" w:hAnsi="Calibri"/>
        </w:rPr>
      </w:pPr>
    </w:p>
    <w:p w14:paraId="2C7B21CA" w14:textId="77777777" w:rsidR="00DC69C7" w:rsidRDefault="00DC69C7">
      <w:pPr>
        <w:jc w:val="both"/>
        <w:rPr>
          <w:rFonts w:ascii="Calibri" w:hAnsi="Calibri"/>
        </w:rPr>
      </w:pPr>
    </w:p>
    <w:p w14:paraId="0ACC00F4" w14:textId="77777777" w:rsidR="00DC69C7" w:rsidRDefault="00DC69C7">
      <w:pPr>
        <w:jc w:val="both"/>
        <w:rPr>
          <w:rFonts w:ascii="Calibri" w:hAnsi="Calibri"/>
        </w:rPr>
      </w:pPr>
    </w:p>
    <w:p w14:paraId="4F4D3774" w14:textId="77777777" w:rsidR="00DC69C7" w:rsidRDefault="00DC69C7">
      <w:pPr>
        <w:jc w:val="both"/>
        <w:rPr>
          <w:rFonts w:ascii="Calibri" w:hAnsi="Calibri"/>
        </w:rPr>
      </w:pPr>
    </w:p>
    <w:p w14:paraId="60553A6D" w14:textId="77777777" w:rsidR="00DC69C7" w:rsidRDefault="00DC69C7">
      <w:pPr>
        <w:jc w:val="both"/>
        <w:rPr>
          <w:rFonts w:ascii="Calibri" w:hAnsi="Calibri"/>
        </w:rPr>
      </w:pPr>
    </w:p>
    <w:p w14:paraId="40AF46E8" w14:textId="77777777" w:rsidR="00DC69C7" w:rsidRDefault="00DC69C7">
      <w:pPr>
        <w:jc w:val="both"/>
        <w:rPr>
          <w:rFonts w:ascii="Calibri" w:hAnsi="Calibri"/>
        </w:rPr>
      </w:pPr>
    </w:p>
    <w:p w14:paraId="1F400DEC" w14:textId="77777777" w:rsidR="00DC69C7" w:rsidRDefault="00DC69C7">
      <w:pPr>
        <w:jc w:val="both"/>
        <w:rPr>
          <w:rFonts w:ascii="Calibri" w:hAnsi="Calibri"/>
        </w:rPr>
      </w:pPr>
    </w:p>
    <w:p w14:paraId="7762CFD4" w14:textId="262688AD" w:rsidR="00DC69C7" w:rsidRDefault="00C34262" w:rsidP="00C34262">
      <w:pPr>
        <w:jc w:val="both"/>
        <w:rPr>
          <w:rFonts w:ascii="Calibri" w:hAnsi="Calibri" w:cs="Arial"/>
          <w:b/>
          <w:bCs/>
          <w:color w:val="0070C0"/>
          <w:sz w:val="36"/>
          <w:szCs w:val="36"/>
        </w:rPr>
      </w:pPr>
      <w:r w:rsidRPr="00C34262">
        <w:rPr>
          <w:rFonts w:ascii="Calibri" w:hAnsi="Calibri" w:cs="Arial"/>
          <w:b/>
          <w:sz w:val="36"/>
          <w:szCs w:val="36"/>
        </w:rPr>
        <w:t>ACQUISIZIONE DEI SERVIZI DI BANCHE DATI PER IL SUPPORTO STRATEGICO IN AMBITO ICT (INFORMATION &amp; COMMUNICATION TECHNOLOGY) PER SOGEI</w:t>
      </w:r>
    </w:p>
    <w:p w14:paraId="24CBE197" w14:textId="77777777" w:rsidR="00DC69C7" w:rsidRDefault="00DC69C7">
      <w:pPr>
        <w:rPr>
          <w:rFonts w:ascii="Calibri" w:hAnsi="Calibri" w:cs="Arial"/>
          <w:b/>
          <w:bCs/>
        </w:rPr>
      </w:pPr>
    </w:p>
    <w:p w14:paraId="3C9A3526" w14:textId="77777777" w:rsidR="00DC69C7" w:rsidRDefault="00DC69C7">
      <w:pPr>
        <w:rPr>
          <w:rFonts w:ascii="Calibri" w:hAnsi="Calibri" w:cs="Arial"/>
          <w:b/>
          <w:bCs/>
        </w:rPr>
      </w:pPr>
    </w:p>
    <w:p w14:paraId="02F5BDBD" w14:textId="77777777" w:rsidR="00DC69C7" w:rsidRDefault="00DC69C7">
      <w:pPr>
        <w:rPr>
          <w:rFonts w:ascii="Calibri" w:hAnsi="Calibri" w:cs="Arial"/>
          <w:b/>
          <w:bCs/>
        </w:rPr>
      </w:pPr>
    </w:p>
    <w:p w14:paraId="287CA15A" w14:textId="77777777" w:rsidR="00DC69C7" w:rsidRDefault="00DC69C7">
      <w:pPr>
        <w:rPr>
          <w:rFonts w:ascii="Calibri" w:hAnsi="Calibri" w:cs="Arial"/>
          <w:b/>
          <w:bCs/>
        </w:rPr>
      </w:pPr>
    </w:p>
    <w:p w14:paraId="5046BB2F" w14:textId="77777777" w:rsidR="00DC69C7" w:rsidRDefault="00DC69C7">
      <w:pPr>
        <w:rPr>
          <w:rFonts w:ascii="Calibri" w:hAnsi="Calibri" w:cs="Arial"/>
          <w:b/>
          <w:bCs/>
        </w:rPr>
      </w:pPr>
    </w:p>
    <w:p w14:paraId="4487E17A" w14:textId="77777777" w:rsidR="00DC69C7" w:rsidRDefault="00DC69C7">
      <w:pPr>
        <w:jc w:val="both"/>
        <w:rPr>
          <w:rFonts w:ascii="Calibri" w:hAnsi="Calibri"/>
        </w:rPr>
      </w:pPr>
    </w:p>
    <w:p w14:paraId="2BE1D246" w14:textId="77777777" w:rsidR="00DC69C7" w:rsidRDefault="00DC69C7">
      <w:pPr>
        <w:jc w:val="both"/>
        <w:rPr>
          <w:rFonts w:ascii="Calibri" w:hAnsi="Calibri"/>
        </w:rPr>
      </w:pPr>
    </w:p>
    <w:p w14:paraId="114C8FD0" w14:textId="77777777" w:rsidR="00DC69C7" w:rsidRDefault="00DC69C7">
      <w:pPr>
        <w:jc w:val="both"/>
        <w:rPr>
          <w:rFonts w:ascii="Calibri" w:hAnsi="Calibri"/>
        </w:rPr>
      </w:pPr>
    </w:p>
    <w:p w14:paraId="4135E3DF" w14:textId="77777777" w:rsidR="00DC69C7" w:rsidRDefault="00DC69C7">
      <w:pPr>
        <w:pStyle w:val="Titolo4"/>
        <w:jc w:val="left"/>
        <w:rPr>
          <w:rFonts w:ascii="Calibri" w:hAnsi="Calibri" w:cs="Arial"/>
        </w:rPr>
      </w:pPr>
    </w:p>
    <w:p w14:paraId="4B73BC86"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32144AB4" w14:textId="77777777" w:rsidR="00DC69C7" w:rsidRDefault="00DC69C7">
      <w:pPr>
        <w:jc w:val="both"/>
        <w:rPr>
          <w:rFonts w:ascii="Calibri" w:hAnsi="Calibri"/>
          <w:sz w:val="20"/>
          <w:szCs w:val="20"/>
        </w:rPr>
      </w:pPr>
    </w:p>
    <w:p w14:paraId="4F82B60E" w14:textId="77777777" w:rsidR="00DC69C7" w:rsidRDefault="00DC69C7">
      <w:pPr>
        <w:spacing w:line="360" w:lineRule="auto"/>
        <w:rPr>
          <w:rFonts w:ascii="Calibri" w:hAnsi="Calibri" w:cs="Arial"/>
          <w:sz w:val="20"/>
          <w:szCs w:val="20"/>
        </w:rPr>
      </w:pPr>
    </w:p>
    <w:p w14:paraId="648F08AE" w14:textId="77777777" w:rsidR="00DC69C7" w:rsidRDefault="00DC69C7">
      <w:pPr>
        <w:spacing w:line="360" w:lineRule="auto"/>
        <w:rPr>
          <w:rFonts w:ascii="Calibri" w:hAnsi="Calibri" w:cs="Arial"/>
          <w:sz w:val="20"/>
          <w:szCs w:val="20"/>
        </w:rPr>
      </w:pPr>
    </w:p>
    <w:p w14:paraId="5E4CF3FE" w14:textId="77777777" w:rsidR="00DC69C7" w:rsidRDefault="00DC69C7">
      <w:pPr>
        <w:spacing w:line="360" w:lineRule="auto"/>
        <w:rPr>
          <w:rFonts w:ascii="Calibri" w:hAnsi="Calibri" w:cs="Arial"/>
          <w:sz w:val="20"/>
          <w:szCs w:val="20"/>
        </w:rPr>
      </w:pPr>
    </w:p>
    <w:p w14:paraId="49394FFC" w14:textId="77777777" w:rsidR="00DC69C7" w:rsidRDefault="00DC69C7">
      <w:pPr>
        <w:spacing w:line="360" w:lineRule="auto"/>
        <w:rPr>
          <w:rFonts w:ascii="Calibri" w:hAnsi="Calibri" w:cs="Arial"/>
          <w:sz w:val="20"/>
          <w:szCs w:val="20"/>
        </w:rPr>
      </w:pPr>
    </w:p>
    <w:p w14:paraId="36BE41ED" w14:textId="77777777" w:rsidR="00DC69C7" w:rsidRDefault="00DC69C7">
      <w:pPr>
        <w:pStyle w:val="Titolo4"/>
        <w:jc w:val="left"/>
        <w:rPr>
          <w:rFonts w:ascii="Calibri" w:hAnsi="Calibri" w:cs="Arial"/>
          <w:sz w:val="20"/>
          <w:szCs w:val="20"/>
        </w:rPr>
      </w:pPr>
    </w:p>
    <w:p w14:paraId="3BF3F099" w14:textId="77777777" w:rsidR="00DC69C7" w:rsidRDefault="00DC69C7">
      <w:pPr>
        <w:pStyle w:val="Titolo4"/>
        <w:jc w:val="left"/>
        <w:rPr>
          <w:rFonts w:ascii="Calibri" w:hAnsi="Calibri" w:cs="Arial"/>
          <w:sz w:val="20"/>
          <w:szCs w:val="20"/>
        </w:rPr>
      </w:pPr>
    </w:p>
    <w:p w14:paraId="1861ECB6" w14:textId="77777777" w:rsidR="00DC69C7" w:rsidRDefault="00DC69C7"/>
    <w:p w14:paraId="7FC2AE65"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AA9664E" w14:textId="77777777" w:rsidR="00DC69C7" w:rsidRDefault="00DC69C7">
      <w:pPr>
        <w:spacing w:line="276" w:lineRule="auto"/>
        <w:jc w:val="both"/>
        <w:rPr>
          <w:rFonts w:asciiTheme="minorHAnsi" w:hAnsiTheme="minorHAnsi" w:cs="Arial"/>
          <w:bCs/>
          <w:sz w:val="20"/>
          <w:szCs w:val="20"/>
        </w:rPr>
      </w:pPr>
    </w:p>
    <w:p w14:paraId="7FC6A3DC" w14:textId="77777777" w:rsidR="000F0A6E" w:rsidRPr="006C450D" w:rsidRDefault="00FE65A8" w:rsidP="000F0A6E">
      <w:pPr>
        <w:spacing w:line="276" w:lineRule="auto"/>
        <w:ind w:left="284"/>
        <w:jc w:val="both"/>
        <w:rPr>
          <w:rFonts w:asciiTheme="minorHAnsi" w:hAnsiTheme="minorHAnsi" w:cs="Arial"/>
          <w:bCs/>
          <w:sz w:val="20"/>
          <w:szCs w:val="20"/>
        </w:rPr>
      </w:pPr>
      <w:hyperlink r:id="rId8" w:history="1">
        <w:r w:rsidR="000F0A6E" w:rsidRPr="006C450D">
          <w:rPr>
            <w:rStyle w:val="Collegamentoipertestuale"/>
            <w:rFonts w:asciiTheme="minorHAnsi" w:hAnsiTheme="minorHAnsi" w:cs="Arial"/>
            <w:bCs/>
            <w:sz w:val="20"/>
            <w:szCs w:val="20"/>
          </w:rPr>
          <w:t>ictconsip@postacert.consip.it</w:t>
        </w:r>
      </w:hyperlink>
    </w:p>
    <w:p w14:paraId="028933D9" w14:textId="77777777" w:rsidR="00DC69C7" w:rsidRPr="006C450D" w:rsidRDefault="00DC69C7">
      <w:pPr>
        <w:spacing w:line="276" w:lineRule="auto"/>
        <w:jc w:val="both"/>
        <w:rPr>
          <w:rFonts w:asciiTheme="minorHAnsi" w:hAnsiTheme="minorHAnsi" w:cs="Arial"/>
          <w:b/>
          <w:bCs/>
          <w:sz w:val="20"/>
          <w:szCs w:val="20"/>
        </w:rPr>
      </w:pPr>
    </w:p>
    <w:p w14:paraId="6496C84C" w14:textId="77777777" w:rsidR="00DC69C7" w:rsidRPr="006C450D" w:rsidRDefault="00DC69C7">
      <w:pPr>
        <w:spacing w:line="276" w:lineRule="auto"/>
        <w:jc w:val="both"/>
        <w:rPr>
          <w:rFonts w:asciiTheme="minorHAnsi" w:hAnsiTheme="minorHAnsi" w:cs="Arial"/>
          <w:bCs/>
          <w:sz w:val="20"/>
          <w:szCs w:val="20"/>
        </w:rPr>
      </w:pPr>
      <w:bookmarkStart w:id="0" w:name="_GoBack"/>
    </w:p>
    <w:p w14:paraId="078EFBDC" w14:textId="77777777" w:rsidR="00DC69C7" w:rsidRPr="006C450D" w:rsidRDefault="00DC69C7">
      <w:pPr>
        <w:spacing w:line="276" w:lineRule="auto"/>
        <w:jc w:val="both"/>
        <w:rPr>
          <w:rFonts w:asciiTheme="minorHAnsi" w:hAnsiTheme="minorHAnsi" w:cs="Arial"/>
          <w:bCs/>
          <w:sz w:val="20"/>
          <w:szCs w:val="20"/>
        </w:rPr>
      </w:pPr>
    </w:p>
    <w:p w14:paraId="1360CEC9" w14:textId="77777777" w:rsidR="00DC69C7" w:rsidRPr="006C450D" w:rsidRDefault="00DC69C7">
      <w:pPr>
        <w:spacing w:line="276" w:lineRule="auto"/>
        <w:jc w:val="both"/>
        <w:rPr>
          <w:rFonts w:asciiTheme="minorHAnsi" w:hAnsiTheme="minorHAnsi" w:cs="Arial"/>
          <w:bCs/>
          <w:sz w:val="20"/>
          <w:szCs w:val="20"/>
        </w:rPr>
      </w:pPr>
    </w:p>
    <w:p w14:paraId="03E9C0C7" w14:textId="77777777" w:rsidR="00DC69C7" w:rsidRPr="006C450D" w:rsidRDefault="00DC69C7">
      <w:pPr>
        <w:spacing w:line="276" w:lineRule="auto"/>
        <w:jc w:val="both"/>
        <w:rPr>
          <w:rFonts w:asciiTheme="minorHAnsi" w:hAnsiTheme="minorHAnsi" w:cs="Arial"/>
          <w:bCs/>
          <w:sz w:val="20"/>
          <w:szCs w:val="20"/>
        </w:rPr>
      </w:pPr>
    </w:p>
    <w:bookmarkEnd w:id="0"/>
    <w:p w14:paraId="399537E8" w14:textId="281F48F8" w:rsidR="00DC69C7" w:rsidRPr="006C450D" w:rsidRDefault="00522FB0">
      <w:pPr>
        <w:spacing w:line="276" w:lineRule="auto"/>
        <w:jc w:val="both"/>
        <w:rPr>
          <w:rFonts w:asciiTheme="minorHAnsi" w:hAnsiTheme="minorHAnsi" w:cs="Arial"/>
          <w:bCs/>
          <w:color w:val="0070C0"/>
          <w:sz w:val="20"/>
          <w:szCs w:val="20"/>
        </w:rPr>
      </w:pPr>
      <w:r w:rsidRPr="006C450D">
        <w:rPr>
          <w:rFonts w:asciiTheme="minorHAnsi" w:hAnsiTheme="minorHAnsi" w:cs="Arial"/>
          <w:bCs/>
          <w:sz w:val="20"/>
          <w:szCs w:val="20"/>
        </w:rPr>
        <w:t>Roma,</w:t>
      </w:r>
      <w:r w:rsidR="00C34262" w:rsidRPr="006C450D">
        <w:rPr>
          <w:rFonts w:asciiTheme="minorHAnsi" w:hAnsiTheme="minorHAnsi" w:cs="Arial"/>
          <w:bCs/>
          <w:sz w:val="20"/>
          <w:szCs w:val="20"/>
        </w:rPr>
        <w:t xml:space="preserve"> 03/09/2021</w:t>
      </w:r>
    </w:p>
    <w:p w14:paraId="2C8EA02A" w14:textId="77777777" w:rsidR="00DC69C7" w:rsidRPr="006C450D" w:rsidRDefault="00522FB0">
      <w:pPr>
        <w:pStyle w:val="Corpotesto"/>
        <w:jc w:val="left"/>
        <w:rPr>
          <w:rFonts w:ascii="Calibri" w:hAnsi="Calibri"/>
          <w:sz w:val="20"/>
        </w:rPr>
      </w:pPr>
      <w:r w:rsidRPr="006C450D">
        <w:rPr>
          <w:rFonts w:ascii="Calibri" w:hAnsi="Calibri"/>
          <w:sz w:val="20"/>
        </w:rPr>
        <w:br w:type="page"/>
      </w:r>
    </w:p>
    <w:p w14:paraId="76A33FC6"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6FD28AEF" w14:textId="1C191B6B"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all’acquisizione di</w:t>
      </w:r>
      <w:r w:rsidR="00E37BEC">
        <w:rPr>
          <w:rFonts w:asciiTheme="minorHAnsi" w:hAnsiTheme="minorHAnsi" w:cs="Arial"/>
          <w:sz w:val="20"/>
          <w:szCs w:val="20"/>
        </w:rPr>
        <w:t xml:space="preserve"> </w:t>
      </w:r>
      <w:r w:rsidR="00E37BEC" w:rsidRPr="00E37BEC">
        <w:rPr>
          <w:rFonts w:asciiTheme="minorHAnsi" w:hAnsiTheme="minorHAnsi" w:cs="Arial"/>
          <w:sz w:val="20"/>
          <w:szCs w:val="20"/>
        </w:rPr>
        <w:t xml:space="preserve">servizi di banche dati </w:t>
      </w:r>
      <w:r w:rsidR="00E37BEC">
        <w:rPr>
          <w:rFonts w:asciiTheme="minorHAnsi" w:hAnsiTheme="minorHAnsi" w:cs="Arial"/>
          <w:sz w:val="20"/>
          <w:szCs w:val="20"/>
        </w:rPr>
        <w:t>ICT</w:t>
      </w:r>
      <w:r w:rsidR="00E37BEC" w:rsidRPr="00E37BEC">
        <w:rPr>
          <w:rFonts w:asciiTheme="minorHAnsi" w:hAnsiTheme="minorHAnsi" w:cs="Arial"/>
          <w:sz w:val="20"/>
          <w:szCs w:val="20"/>
        </w:rPr>
        <w:t xml:space="preserve"> per il supporto strategico </w:t>
      </w:r>
      <w:r w:rsidR="00E37BEC">
        <w:rPr>
          <w:rFonts w:asciiTheme="minorHAnsi" w:hAnsiTheme="minorHAnsi" w:cs="Arial"/>
          <w:sz w:val="20"/>
          <w:szCs w:val="20"/>
        </w:rPr>
        <w:t>per S</w:t>
      </w:r>
      <w:r w:rsidR="00E37BEC" w:rsidRPr="00E37BEC">
        <w:rPr>
          <w:rFonts w:asciiTheme="minorHAnsi" w:hAnsiTheme="minorHAnsi" w:cs="Arial"/>
          <w:sz w:val="20"/>
          <w:szCs w:val="20"/>
        </w:rPr>
        <w:t>ogei</w:t>
      </w:r>
      <w:r w:rsidR="00E37BEC">
        <w:rPr>
          <w:rFonts w:asciiTheme="minorHAnsi" w:hAnsiTheme="minorHAnsi" w:cs="Arial"/>
          <w:sz w:val="20"/>
          <w:szCs w:val="20"/>
        </w:rPr>
        <w:t>.</w:t>
      </w:r>
    </w:p>
    <w:p w14:paraId="7B28E456"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6ACCBEA3"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4BBA55BF"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467854D5"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115B3E0F"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74686E48"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655BC02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0BE6BB7C" w14:textId="781F8BC2" w:rsidR="00DC69C7" w:rsidRPr="00E37BEC"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E37BEC">
        <w:rPr>
          <w:rFonts w:asciiTheme="minorHAnsi" w:hAnsiTheme="minorHAnsi" w:cs="Arial"/>
          <w:bCs/>
          <w:sz w:val="20"/>
          <w:szCs w:val="20"/>
        </w:rPr>
        <w:t xml:space="preserve"> </w:t>
      </w:r>
      <w:hyperlink r:id="rId9" w:history="1">
        <w:r w:rsidR="00E37BEC" w:rsidRPr="00347B67">
          <w:rPr>
            <w:rStyle w:val="Collegamentoipertestuale"/>
            <w:rFonts w:asciiTheme="minorHAnsi" w:hAnsiTheme="minorHAnsi"/>
          </w:rPr>
          <w:t xml:space="preserve"> </w:t>
        </w:r>
        <w:r w:rsidR="00E37BEC" w:rsidRPr="00347B67">
          <w:rPr>
            <w:rStyle w:val="Collegamentoipertestuale"/>
            <w:rFonts w:asciiTheme="minorHAnsi" w:hAnsiTheme="minorHAnsi"/>
            <w:sz w:val="20"/>
            <w:szCs w:val="20"/>
          </w:rPr>
          <w:t>ictconsip@postacert.consip.it</w:t>
        </w:r>
      </w:hyperlink>
      <w:r w:rsidR="00E37BEC" w:rsidRPr="00347B67">
        <w:rPr>
          <w:rFonts w:asciiTheme="minorHAnsi" w:hAnsiTheme="minorHAnsi" w:cs="Arial"/>
          <w:bCs/>
          <w:sz w:val="20"/>
          <w:szCs w:val="20"/>
        </w:rPr>
        <w:t>.</w:t>
      </w:r>
      <w:r>
        <w:rPr>
          <w:rFonts w:ascii="Calibri" w:hAnsi="Calibri" w:cs="Arial"/>
          <w:color w:val="0070C0"/>
          <w:sz w:val="20"/>
          <w:szCs w:val="20"/>
        </w:rPr>
        <w:t xml:space="preserve"> </w:t>
      </w:r>
      <w:r w:rsidRPr="00E37BEC">
        <w:rPr>
          <w:rFonts w:ascii="Calibri" w:hAnsi="Calibri" w:cs="Arial"/>
          <w:sz w:val="20"/>
          <w:szCs w:val="20"/>
        </w:rPr>
        <w:t>specifican</w:t>
      </w:r>
      <w:r w:rsidR="00E37BEC">
        <w:rPr>
          <w:rFonts w:ascii="Calibri" w:hAnsi="Calibri" w:cs="Arial"/>
          <w:sz w:val="20"/>
          <w:szCs w:val="20"/>
        </w:rPr>
        <w:t>do nell’oggetto della e-mail: “S</w:t>
      </w:r>
      <w:r w:rsidR="00E37BEC" w:rsidRPr="00E37BEC">
        <w:rPr>
          <w:rFonts w:ascii="Calibri" w:hAnsi="Calibri" w:cs="Arial"/>
          <w:sz w:val="20"/>
          <w:szCs w:val="20"/>
        </w:rPr>
        <w:t>ervizi di banche dati ICT per il supporto strategico per Sogei</w:t>
      </w:r>
      <w:r w:rsidRPr="00E37BEC">
        <w:rPr>
          <w:rFonts w:ascii="Calibri" w:hAnsi="Calibri" w:cs="Arial"/>
          <w:sz w:val="20"/>
          <w:szCs w:val="20"/>
        </w:rPr>
        <w:t>.</w:t>
      </w:r>
    </w:p>
    <w:p w14:paraId="2DB34370"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512EECCA"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103ED7B4"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03A45230" w14:textId="77777777">
        <w:tc>
          <w:tcPr>
            <w:tcW w:w="3321" w:type="dxa"/>
            <w:vAlign w:val="center"/>
          </w:tcPr>
          <w:p w14:paraId="55E5D17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6CA150C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A28E371" w14:textId="77777777">
        <w:tc>
          <w:tcPr>
            <w:tcW w:w="3321" w:type="dxa"/>
            <w:vAlign w:val="center"/>
          </w:tcPr>
          <w:p w14:paraId="51F1ACF7"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3F855C0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3DAFD0" w14:textId="77777777">
        <w:tc>
          <w:tcPr>
            <w:tcW w:w="3321" w:type="dxa"/>
            <w:vAlign w:val="center"/>
          </w:tcPr>
          <w:p w14:paraId="0DAA50E7"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59EE624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BCB8D96" w14:textId="77777777">
        <w:tc>
          <w:tcPr>
            <w:tcW w:w="3321" w:type="dxa"/>
            <w:vAlign w:val="center"/>
          </w:tcPr>
          <w:p w14:paraId="3E8E8CD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7DBECD0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D0EDAD0" w14:textId="77777777">
        <w:tc>
          <w:tcPr>
            <w:tcW w:w="3321" w:type="dxa"/>
            <w:vAlign w:val="center"/>
          </w:tcPr>
          <w:p w14:paraId="6B036E7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7DB17CD4"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081958A" w14:textId="77777777">
        <w:tc>
          <w:tcPr>
            <w:tcW w:w="3321" w:type="dxa"/>
            <w:vAlign w:val="center"/>
          </w:tcPr>
          <w:p w14:paraId="5DED128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6AECFBB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F67B749" w14:textId="77777777">
        <w:tc>
          <w:tcPr>
            <w:tcW w:w="3321" w:type="dxa"/>
            <w:vAlign w:val="center"/>
          </w:tcPr>
          <w:p w14:paraId="2652A4E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4B8DF11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8A52293" w14:textId="77777777">
        <w:tc>
          <w:tcPr>
            <w:tcW w:w="3321" w:type="dxa"/>
            <w:vAlign w:val="center"/>
          </w:tcPr>
          <w:p w14:paraId="68EF258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397F030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22C5038" w14:textId="77777777" w:rsidR="00DC69C7" w:rsidRDefault="00DC69C7">
      <w:pPr>
        <w:pStyle w:val="Titolo1"/>
        <w:numPr>
          <w:ilvl w:val="0"/>
          <w:numId w:val="0"/>
        </w:numPr>
        <w:jc w:val="both"/>
        <w:rPr>
          <w:rFonts w:ascii="Calibri" w:hAnsi="Calibri"/>
          <w:i/>
          <w:sz w:val="20"/>
          <w:szCs w:val="20"/>
        </w:rPr>
      </w:pPr>
    </w:p>
    <w:p w14:paraId="090E66FD"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0891A7F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6E48C96" w14:textId="77777777" w:rsidR="00DC69C7" w:rsidRDefault="00DC69C7">
      <w:pPr>
        <w:spacing w:line="276" w:lineRule="auto"/>
        <w:jc w:val="both"/>
        <w:rPr>
          <w:rFonts w:asciiTheme="minorHAnsi" w:hAnsiTheme="minorHAnsi"/>
          <w:sz w:val="20"/>
          <w:szCs w:val="20"/>
        </w:rPr>
      </w:pPr>
    </w:p>
    <w:p w14:paraId="18F22DA3"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DCD833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702F5C8C" w14:textId="77777777" w:rsidR="00DC69C7" w:rsidRDefault="00DC69C7">
      <w:pPr>
        <w:spacing w:line="276" w:lineRule="auto"/>
        <w:jc w:val="both"/>
        <w:rPr>
          <w:rFonts w:asciiTheme="minorHAnsi" w:hAnsiTheme="minorHAnsi"/>
          <w:sz w:val="20"/>
          <w:szCs w:val="20"/>
        </w:rPr>
      </w:pPr>
    </w:p>
    <w:p w14:paraId="63FE4DF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E01ADCF" w14:textId="77777777" w:rsidR="00DC69C7" w:rsidRDefault="00DC69C7">
      <w:pPr>
        <w:spacing w:line="276" w:lineRule="auto"/>
        <w:jc w:val="both"/>
        <w:rPr>
          <w:rFonts w:asciiTheme="minorHAnsi" w:hAnsiTheme="minorHAnsi"/>
          <w:sz w:val="20"/>
          <w:szCs w:val="20"/>
        </w:rPr>
      </w:pPr>
    </w:p>
    <w:p w14:paraId="1175B71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6BFCCAF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040E2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229F9129" w14:textId="77777777" w:rsidR="00DC69C7" w:rsidRDefault="00DC69C7">
      <w:pPr>
        <w:spacing w:line="276" w:lineRule="auto"/>
        <w:jc w:val="both"/>
        <w:rPr>
          <w:rFonts w:asciiTheme="minorHAnsi" w:hAnsiTheme="minorHAnsi"/>
          <w:sz w:val="20"/>
          <w:szCs w:val="20"/>
        </w:rPr>
      </w:pPr>
    </w:p>
    <w:p w14:paraId="5E90A51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6E19487A" w14:textId="77777777" w:rsidR="00DC69C7" w:rsidRDefault="00522FB0">
      <w:pPr>
        <w:rPr>
          <w:rFonts w:ascii="Calibri" w:hAnsi="Calibri"/>
          <w:b/>
        </w:rPr>
      </w:pPr>
      <w:r>
        <w:rPr>
          <w:rFonts w:ascii="Calibri" w:hAnsi="Calibri"/>
        </w:rPr>
        <w:br w:type="page"/>
      </w:r>
    </w:p>
    <w:p w14:paraId="5AFE5F36"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6B979439" w14:textId="77777777" w:rsidR="00A01B06" w:rsidRPr="00A01B06" w:rsidRDefault="00A01B06" w:rsidP="00A01B06">
      <w:pPr>
        <w:spacing w:line="276" w:lineRule="auto"/>
        <w:jc w:val="both"/>
        <w:rPr>
          <w:rFonts w:asciiTheme="minorHAnsi" w:hAnsiTheme="minorHAnsi"/>
          <w:sz w:val="20"/>
          <w:szCs w:val="20"/>
        </w:rPr>
      </w:pPr>
      <w:r w:rsidRPr="00A01B06">
        <w:rPr>
          <w:rFonts w:asciiTheme="minorHAnsi" w:hAnsiTheme="minorHAnsi"/>
          <w:sz w:val="20"/>
          <w:szCs w:val="20"/>
        </w:rPr>
        <w:t>Il sistema informativo gestito da Sogei è il maggiore sistema informativo della Pubblica amministrazione Italiana ed Europea; fornisce servizi informatici per i Ministeri dell’Economia (Agenzie fiscali comprese), degli Interni, della Salute, per la Guardia di Finanza e per la Corte dei Conti.</w:t>
      </w:r>
      <w:r>
        <w:rPr>
          <w:rFonts w:asciiTheme="minorHAnsi" w:hAnsiTheme="minorHAnsi"/>
          <w:sz w:val="20"/>
          <w:szCs w:val="20"/>
        </w:rPr>
        <w:t xml:space="preserve"> </w:t>
      </w:r>
      <w:r w:rsidRPr="00A01B06">
        <w:rPr>
          <w:rFonts w:asciiTheme="minorHAnsi" w:hAnsiTheme="minorHAnsi"/>
          <w:sz w:val="20"/>
          <w:szCs w:val="20"/>
        </w:rPr>
        <w:t>Sogei è coinvolta in progetti di rilevanza nazionale per i quali progetta, realizza e gestisce l’infrastruttura informatica fornendo, inoltre, servizi ai cittadini Italiani.</w:t>
      </w:r>
    </w:p>
    <w:p w14:paraId="311E4758" w14:textId="77777777" w:rsidR="00A01B06" w:rsidRPr="00A01B06" w:rsidRDefault="00A01B06" w:rsidP="00A01B06">
      <w:pPr>
        <w:spacing w:line="276" w:lineRule="auto"/>
        <w:jc w:val="both"/>
        <w:rPr>
          <w:rFonts w:asciiTheme="minorHAnsi" w:hAnsiTheme="minorHAnsi"/>
          <w:sz w:val="20"/>
          <w:szCs w:val="20"/>
        </w:rPr>
      </w:pPr>
      <w:r w:rsidRPr="00A01B06">
        <w:rPr>
          <w:rFonts w:asciiTheme="minorHAnsi" w:hAnsiTheme="minorHAnsi"/>
          <w:sz w:val="20"/>
          <w:szCs w:val="20"/>
        </w:rPr>
        <w:t>Riferendosi solo agli ultimi anni, bisogna citare tra i progetti affidati a Sogei, per la parte informatica, e realizzati, il mod. 730 precompilato, l’ANPR (Anagrafe Nazionale Popolazione Residente) lo scontrino fiscale, la fatturazione elettronica tra privati, sviluppo di progetti pilota in tema di intelligenza aumentata e machine learning, come ad esempio BADA (progetto di evoluzione sui dati con ricadute in produzione nel medio termine) o l’analisi dei requisiti in rapporto alle offerte tecnologiche del mercato rispetto alle piattaforme di CRM per l’Agenzia delle Entrate.</w:t>
      </w:r>
    </w:p>
    <w:p w14:paraId="71A3BF87" w14:textId="77777777" w:rsidR="00A01B06" w:rsidRDefault="00A01B06" w:rsidP="00A01B06">
      <w:pPr>
        <w:spacing w:line="276" w:lineRule="auto"/>
        <w:jc w:val="both"/>
        <w:rPr>
          <w:rFonts w:ascii="Calibri" w:hAnsi="Calibri" w:cs="Calibri"/>
          <w:color w:val="000000"/>
          <w:lang w:val="x-none"/>
        </w:rPr>
      </w:pPr>
      <w:r w:rsidRPr="00A01B06">
        <w:rPr>
          <w:rFonts w:asciiTheme="minorHAnsi" w:hAnsiTheme="minorHAnsi"/>
          <w:sz w:val="20"/>
          <w:szCs w:val="20"/>
        </w:rPr>
        <w:t>Sogei, inoltre è impegnata nel contrasto all’evasione fiscale e a fenomeni come il gioco illegale on- line</w:t>
      </w:r>
      <w:r>
        <w:rPr>
          <w:rFonts w:ascii="Calibri" w:hAnsi="Calibri" w:cs="Calibri"/>
          <w:color w:val="000000"/>
          <w:lang w:val="x-none"/>
        </w:rPr>
        <w:t>.</w:t>
      </w:r>
    </w:p>
    <w:p w14:paraId="31F77F9A" w14:textId="77777777" w:rsidR="00A01B06" w:rsidRDefault="00A01B06" w:rsidP="00A01B06">
      <w:pPr>
        <w:spacing w:line="276" w:lineRule="auto"/>
        <w:jc w:val="both"/>
        <w:rPr>
          <w:rFonts w:ascii="Calibri" w:hAnsi="Calibri" w:cs="Calibri"/>
          <w:color w:val="000000"/>
          <w:lang w:val="x-none"/>
        </w:rPr>
      </w:pPr>
    </w:p>
    <w:p w14:paraId="7EE6FD99" w14:textId="77777777" w:rsidR="00A01B06" w:rsidRPr="00A01B06" w:rsidRDefault="00A01B06" w:rsidP="00A01B06">
      <w:pPr>
        <w:spacing w:line="276" w:lineRule="auto"/>
        <w:jc w:val="both"/>
        <w:rPr>
          <w:rFonts w:asciiTheme="minorHAnsi" w:hAnsiTheme="minorHAnsi"/>
          <w:sz w:val="20"/>
          <w:szCs w:val="20"/>
        </w:rPr>
      </w:pPr>
      <w:r w:rsidRPr="00A01B06">
        <w:rPr>
          <w:rFonts w:asciiTheme="minorHAnsi" w:hAnsiTheme="minorHAnsi"/>
          <w:sz w:val="20"/>
          <w:szCs w:val="20"/>
        </w:rPr>
        <w:t>In tale contesto è di vitale importanza la definizione di una efficace strategia IT, dal momento che una scelta inefficace, potrebbe produrre danni economici rilevanti e potrebbe mettere a rischio le scelte di politica economica e di bilancio del Paese e la qualità dei servizi resi a cittadini e imprese.</w:t>
      </w:r>
    </w:p>
    <w:p w14:paraId="7E9BE1CC" w14:textId="77777777" w:rsidR="00A01B06" w:rsidRDefault="00A01B06" w:rsidP="00A01B06">
      <w:pPr>
        <w:spacing w:line="276" w:lineRule="auto"/>
        <w:jc w:val="both"/>
        <w:rPr>
          <w:rFonts w:asciiTheme="minorHAnsi" w:hAnsiTheme="minorHAnsi"/>
          <w:sz w:val="20"/>
          <w:szCs w:val="20"/>
        </w:rPr>
      </w:pPr>
      <w:r w:rsidRPr="00A01B06">
        <w:rPr>
          <w:rFonts w:asciiTheme="minorHAnsi" w:hAnsiTheme="minorHAnsi"/>
          <w:sz w:val="20"/>
          <w:szCs w:val="20"/>
        </w:rPr>
        <w:t>Vista la complessità dell'Information Technology, ecosistema in continua evoluzione, per effettuare le opportune scelte occorre una visione e una approfondita conoscenza di quanto si muove nel mondo dell’IT che non è possibile né economico, sviluppare internamente dai dati “grezzi” da reperire, eventualmente, a livello mondiale.</w:t>
      </w:r>
      <w:r>
        <w:rPr>
          <w:rFonts w:asciiTheme="minorHAnsi" w:hAnsiTheme="minorHAnsi"/>
          <w:sz w:val="20"/>
          <w:szCs w:val="20"/>
        </w:rPr>
        <w:t xml:space="preserve"> </w:t>
      </w:r>
    </w:p>
    <w:p w14:paraId="3D323BD5" w14:textId="77777777" w:rsidR="00CF2B76" w:rsidRDefault="00CF2B76" w:rsidP="00CF2B76">
      <w:pPr>
        <w:spacing w:line="276" w:lineRule="auto"/>
        <w:jc w:val="both"/>
        <w:rPr>
          <w:rFonts w:asciiTheme="minorHAnsi" w:hAnsiTheme="minorHAnsi"/>
          <w:sz w:val="20"/>
          <w:szCs w:val="20"/>
        </w:rPr>
      </w:pPr>
      <w:r w:rsidRPr="00CF2B76">
        <w:rPr>
          <w:rFonts w:asciiTheme="minorHAnsi" w:hAnsiTheme="minorHAnsi"/>
          <w:sz w:val="20"/>
          <w:szCs w:val="20"/>
        </w:rPr>
        <w:t>Nasce da tale constatazione l’esigenza di avvalersi di un servizio di ricerca e analisi nel campo dell’IT in grado di supportare in maniera autorevole le scelte progettuali, architetturali e metodologiche che sottostanno anche all’acquisizione di beni e servizi IT.</w:t>
      </w:r>
    </w:p>
    <w:p w14:paraId="4B2E236F" w14:textId="77777777" w:rsidR="00CF2B76" w:rsidRPr="00CF2B76" w:rsidRDefault="00CF2B76" w:rsidP="00CF2B76">
      <w:pPr>
        <w:spacing w:line="276" w:lineRule="auto"/>
        <w:jc w:val="both"/>
        <w:rPr>
          <w:rFonts w:asciiTheme="minorHAnsi" w:hAnsiTheme="minorHAnsi"/>
          <w:sz w:val="20"/>
          <w:szCs w:val="20"/>
        </w:rPr>
      </w:pPr>
    </w:p>
    <w:p w14:paraId="441236FC" w14:textId="77777777" w:rsidR="00CF2B76" w:rsidRPr="00CF2B76" w:rsidRDefault="00CF2B76" w:rsidP="00CF2B76">
      <w:pPr>
        <w:spacing w:line="276" w:lineRule="auto"/>
        <w:jc w:val="both"/>
        <w:rPr>
          <w:rFonts w:asciiTheme="minorHAnsi" w:hAnsiTheme="minorHAnsi"/>
          <w:sz w:val="20"/>
          <w:szCs w:val="20"/>
          <w:lang w:val="x-none"/>
        </w:rPr>
      </w:pPr>
      <w:r w:rsidRPr="00CF2B76">
        <w:rPr>
          <w:rFonts w:asciiTheme="minorHAnsi" w:hAnsiTheme="minorHAnsi"/>
          <w:sz w:val="20"/>
          <w:szCs w:val="20"/>
          <w:lang w:val="x-none"/>
        </w:rPr>
        <w:t>Sogei si dota di servizi di questo tipo ad uso dei propri tecnici, perché in qualsiasi processo di trasformazione o evoluzione o potenziamento, parte importante della scelta è basata sugli approfondimenti effettuati sulla documentazione</w:t>
      </w:r>
      <w:r>
        <w:rPr>
          <w:rFonts w:asciiTheme="minorHAnsi" w:hAnsiTheme="minorHAnsi"/>
          <w:sz w:val="20"/>
          <w:szCs w:val="20"/>
          <w:lang w:val="x-none"/>
        </w:rPr>
        <w:t xml:space="preserve"> presente in banca dati. </w:t>
      </w:r>
      <w:r w:rsidRPr="00CF2B76">
        <w:rPr>
          <w:rFonts w:asciiTheme="minorHAnsi" w:hAnsiTheme="minorHAnsi"/>
          <w:sz w:val="20"/>
          <w:szCs w:val="20"/>
          <w:lang w:val="x-none"/>
        </w:rPr>
        <w:t>Tali risorse hanno competenze specifiche ognuna su ambiti e tecnologie differenti. Questo grado di specializzazione e differenziazione delle competenze è il risultato di anni di investimenti e di formazione da parte della Direzione “People, Organization &amp; Digital Transformation ” di Sogei.</w:t>
      </w:r>
    </w:p>
    <w:p w14:paraId="09D43D56" w14:textId="77777777" w:rsidR="00A01B06" w:rsidRDefault="00A01B06" w:rsidP="00CF2B76">
      <w:pPr>
        <w:spacing w:line="276" w:lineRule="auto"/>
        <w:jc w:val="both"/>
        <w:rPr>
          <w:rFonts w:asciiTheme="minorHAnsi" w:hAnsiTheme="minorHAnsi"/>
          <w:sz w:val="20"/>
          <w:szCs w:val="20"/>
        </w:rPr>
      </w:pPr>
    </w:p>
    <w:p w14:paraId="2E41D347" w14:textId="77777777" w:rsidR="00DE7E39" w:rsidRPr="00CF2B76" w:rsidRDefault="00DE7E39" w:rsidP="00CF2B76">
      <w:pPr>
        <w:spacing w:line="276" w:lineRule="auto"/>
        <w:jc w:val="both"/>
        <w:rPr>
          <w:rFonts w:asciiTheme="minorHAnsi" w:hAnsiTheme="minorHAnsi"/>
          <w:sz w:val="20"/>
          <w:szCs w:val="20"/>
        </w:rPr>
      </w:pPr>
      <w:r w:rsidRPr="00DE7E39">
        <w:rPr>
          <w:rFonts w:asciiTheme="minorHAnsi" w:hAnsiTheme="minorHAnsi"/>
          <w:sz w:val="20"/>
          <w:szCs w:val="20"/>
        </w:rPr>
        <w:t xml:space="preserve">L’obiettivo dell’iniziativa è quello di mettere </w:t>
      </w:r>
      <w:r>
        <w:rPr>
          <w:rFonts w:asciiTheme="minorHAnsi" w:hAnsiTheme="minorHAnsi"/>
          <w:sz w:val="20"/>
          <w:szCs w:val="20"/>
        </w:rPr>
        <w:t xml:space="preserve">a </w:t>
      </w:r>
      <w:r w:rsidRPr="00DE7E39">
        <w:rPr>
          <w:rFonts w:asciiTheme="minorHAnsi" w:hAnsiTheme="minorHAnsi"/>
          <w:sz w:val="20"/>
          <w:szCs w:val="20"/>
        </w:rPr>
        <w:t>disposizione di Sogei l’accesso alle banche dati informative del settore ICT attraverso un portale internet. Tale servizio deve garantire alcuni requisiti sostanziali che Sogei ritiene infungibili:</w:t>
      </w:r>
    </w:p>
    <w:p w14:paraId="2E5305C3" w14:textId="77777777" w:rsidR="00A01B06" w:rsidRPr="00817C8A" w:rsidRDefault="00DE7E39" w:rsidP="00817C8A">
      <w:pPr>
        <w:pStyle w:val="Paragrafoelenco"/>
        <w:numPr>
          <w:ilvl w:val="0"/>
          <w:numId w:val="14"/>
        </w:numPr>
        <w:spacing w:line="276" w:lineRule="auto"/>
        <w:jc w:val="both"/>
        <w:rPr>
          <w:rFonts w:asciiTheme="minorHAnsi" w:hAnsiTheme="minorHAnsi"/>
          <w:sz w:val="20"/>
          <w:szCs w:val="20"/>
        </w:rPr>
      </w:pPr>
      <w:r w:rsidRPr="00DA1969">
        <w:rPr>
          <w:rFonts w:asciiTheme="minorHAnsi" w:hAnsiTheme="minorHAnsi"/>
          <w:sz w:val="20"/>
          <w:szCs w:val="20"/>
          <w:u w:val="single"/>
        </w:rPr>
        <w:t>indipendenza</w:t>
      </w:r>
      <w:r>
        <w:rPr>
          <w:rFonts w:asciiTheme="minorHAnsi" w:hAnsiTheme="minorHAnsi"/>
          <w:sz w:val="20"/>
          <w:szCs w:val="20"/>
        </w:rPr>
        <w:t xml:space="preserve">: tale </w:t>
      </w:r>
      <w:r w:rsidR="00CF2B76" w:rsidRPr="00DE7E39">
        <w:rPr>
          <w:rFonts w:asciiTheme="minorHAnsi" w:hAnsiTheme="minorHAnsi"/>
          <w:sz w:val="20"/>
          <w:szCs w:val="20"/>
        </w:rPr>
        <w:t>servizio di banca dati verrà utilizzato anche a supporto della valutazione, dell’adozione ed acquisto di prodotti Hardware e Software, di servizi di gestione infrastrutture, di sviluppo applicazioni, di analisi basi dati, di sviluppo business intelligence e di modelli statistici</w:t>
      </w:r>
      <w:r>
        <w:rPr>
          <w:rFonts w:asciiTheme="minorHAnsi" w:hAnsiTheme="minorHAnsi"/>
          <w:sz w:val="20"/>
          <w:szCs w:val="20"/>
        </w:rPr>
        <w:t>. Pertanto</w:t>
      </w:r>
      <w:r w:rsidR="00CF2B76" w:rsidRPr="00DE7E39">
        <w:rPr>
          <w:rFonts w:asciiTheme="minorHAnsi" w:hAnsiTheme="minorHAnsi"/>
          <w:sz w:val="20"/>
          <w:szCs w:val="20"/>
        </w:rPr>
        <w:t xml:space="preserve"> gli operatori che e</w:t>
      </w:r>
      <w:r>
        <w:rPr>
          <w:rFonts w:asciiTheme="minorHAnsi" w:hAnsiTheme="minorHAnsi"/>
          <w:sz w:val="20"/>
          <w:szCs w:val="20"/>
        </w:rPr>
        <w:t>rogano il servizio oggetto dell’iniziativa</w:t>
      </w:r>
      <w:r w:rsidR="00CF2B76" w:rsidRPr="00DE7E39">
        <w:rPr>
          <w:rFonts w:asciiTheme="minorHAnsi" w:hAnsiTheme="minorHAnsi"/>
          <w:sz w:val="20"/>
          <w:szCs w:val="20"/>
        </w:rPr>
        <w:t>, a tutela dei principi di terzietà, non devono al contempo vendere nessuno d</w:t>
      </w:r>
      <w:r w:rsidR="005F0542">
        <w:rPr>
          <w:rFonts w:asciiTheme="minorHAnsi" w:hAnsiTheme="minorHAnsi"/>
          <w:sz w:val="20"/>
          <w:szCs w:val="20"/>
        </w:rPr>
        <w:t xml:space="preserve">ei suddetti prodotti e servizi. Inoltre </w:t>
      </w:r>
      <w:r w:rsidR="00817C8A">
        <w:rPr>
          <w:rFonts w:asciiTheme="minorHAnsi" w:hAnsiTheme="minorHAnsi"/>
          <w:sz w:val="20"/>
          <w:szCs w:val="20"/>
        </w:rPr>
        <w:t xml:space="preserve">il </w:t>
      </w:r>
      <w:r w:rsidR="00817C8A" w:rsidRPr="00817C8A">
        <w:rPr>
          <w:rFonts w:ascii="Calibri" w:hAnsi="Calibri" w:cs="Calibri"/>
          <w:color w:val="000000"/>
          <w:sz w:val="20"/>
          <w:szCs w:val="20"/>
          <w:lang w:val="x-none"/>
        </w:rPr>
        <w:t>fornitore non deve sviluppare e pubblicare ricerche o studi “ad hoc”</w:t>
      </w:r>
      <w:r w:rsidR="005F0542">
        <w:rPr>
          <w:rFonts w:ascii="Calibri" w:hAnsi="Calibri" w:cs="Calibri"/>
          <w:color w:val="000000"/>
          <w:sz w:val="20"/>
          <w:szCs w:val="20"/>
          <w:lang w:val="x-none"/>
        </w:rPr>
        <w:t xml:space="preserve"> sponsorizzati</w:t>
      </w:r>
      <w:r w:rsidR="00817C8A" w:rsidRPr="00817C8A">
        <w:rPr>
          <w:rFonts w:ascii="Calibri" w:hAnsi="Calibri" w:cs="Calibri"/>
          <w:color w:val="000000"/>
          <w:sz w:val="20"/>
          <w:szCs w:val="20"/>
          <w:lang w:val="x-none"/>
        </w:rPr>
        <w:t xml:space="preserve"> da fornitori di prodotti HW o SW o di servizi ICT</w:t>
      </w:r>
      <w:r w:rsidR="00817C8A">
        <w:rPr>
          <w:rFonts w:ascii="Calibri" w:hAnsi="Calibri" w:cs="Calibri"/>
          <w:color w:val="000000"/>
          <w:sz w:val="20"/>
          <w:szCs w:val="20"/>
        </w:rPr>
        <w:t>;</w:t>
      </w:r>
    </w:p>
    <w:p w14:paraId="4210E1CE" w14:textId="77777777" w:rsidR="00DE7E39" w:rsidRPr="005F0542" w:rsidRDefault="00DE7E39" w:rsidP="00FE582E">
      <w:pPr>
        <w:pStyle w:val="Paragrafoelenco"/>
        <w:numPr>
          <w:ilvl w:val="0"/>
          <w:numId w:val="14"/>
        </w:numPr>
        <w:spacing w:line="276" w:lineRule="auto"/>
        <w:jc w:val="both"/>
        <w:rPr>
          <w:rFonts w:asciiTheme="minorHAnsi" w:hAnsiTheme="minorHAnsi"/>
          <w:sz w:val="20"/>
          <w:szCs w:val="20"/>
        </w:rPr>
      </w:pPr>
      <w:r w:rsidRPr="00DA1969">
        <w:rPr>
          <w:rFonts w:asciiTheme="minorHAnsi" w:hAnsiTheme="minorHAnsi"/>
          <w:sz w:val="20"/>
          <w:szCs w:val="20"/>
          <w:u w:val="single"/>
        </w:rPr>
        <w:lastRenderedPageBreak/>
        <w:t>terzietà</w:t>
      </w:r>
      <w:r w:rsidRPr="005F0542">
        <w:rPr>
          <w:rFonts w:asciiTheme="minorHAnsi" w:hAnsiTheme="minorHAnsi"/>
          <w:sz w:val="20"/>
          <w:szCs w:val="20"/>
        </w:rPr>
        <w:t xml:space="preserve">: rispetto ai fornitori di tecnologie e servizi informatici di qualsiasi tipo (es. disegno e sviluppo applicativo, gestione infrastrutture, vendita hardware e software). </w:t>
      </w:r>
      <w:r w:rsidR="005F0542" w:rsidRPr="005F0542">
        <w:rPr>
          <w:rFonts w:asciiTheme="minorHAnsi" w:hAnsiTheme="minorHAnsi"/>
          <w:sz w:val="20"/>
          <w:szCs w:val="20"/>
        </w:rPr>
        <w:t>Il fornitore non</w:t>
      </w:r>
      <w:r w:rsidR="00135BF2">
        <w:rPr>
          <w:rFonts w:asciiTheme="minorHAnsi" w:hAnsiTheme="minorHAnsi"/>
          <w:sz w:val="20"/>
          <w:szCs w:val="20"/>
        </w:rPr>
        <w:t xml:space="preserve"> </w:t>
      </w:r>
      <w:r w:rsidR="005F0542" w:rsidRPr="005F0542">
        <w:rPr>
          <w:rFonts w:asciiTheme="minorHAnsi" w:hAnsiTheme="minorHAnsi"/>
          <w:sz w:val="20"/>
          <w:szCs w:val="20"/>
        </w:rPr>
        <w:t xml:space="preserve">deve aver partecipato a Bandi di Gara nè singolarmente nè in raggruppamento con altre Aziende che forniscono </w:t>
      </w:r>
      <w:r w:rsidR="00135BF2">
        <w:rPr>
          <w:rFonts w:asciiTheme="minorHAnsi" w:hAnsiTheme="minorHAnsi"/>
          <w:sz w:val="20"/>
          <w:szCs w:val="20"/>
        </w:rPr>
        <w:t>la</w:t>
      </w:r>
      <w:r w:rsidR="005F0542" w:rsidRPr="005F0542">
        <w:rPr>
          <w:rFonts w:asciiTheme="minorHAnsi" w:hAnsiTheme="minorHAnsi"/>
          <w:sz w:val="20"/>
          <w:szCs w:val="20"/>
        </w:rPr>
        <w:t xml:space="preserve"> tipologia di servizi </w:t>
      </w:r>
      <w:r w:rsidR="00135BF2">
        <w:rPr>
          <w:rFonts w:asciiTheme="minorHAnsi" w:hAnsiTheme="minorHAnsi"/>
          <w:sz w:val="20"/>
          <w:szCs w:val="20"/>
        </w:rPr>
        <w:t xml:space="preserve">oggetto dell’iniziativa </w:t>
      </w:r>
      <w:r w:rsidR="005F0542" w:rsidRPr="005F0542">
        <w:rPr>
          <w:rFonts w:asciiTheme="minorHAnsi" w:hAnsiTheme="minorHAnsi"/>
          <w:sz w:val="20"/>
          <w:szCs w:val="20"/>
        </w:rPr>
        <w:t xml:space="preserve">o che forniscono e/o vendono soluzioni HW e/o SW. </w:t>
      </w:r>
      <w:r w:rsidR="005F0542">
        <w:rPr>
          <w:rFonts w:asciiTheme="minorHAnsi" w:hAnsiTheme="minorHAnsi"/>
          <w:sz w:val="20"/>
          <w:szCs w:val="20"/>
        </w:rPr>
        <w:t>D</w:t>
      </w:r>
      <w:r w:rsidRPr="005F0542">
        <w:rPr>
          <w:rFonts w:asciiTheme="minorHAnsi" w:hAnsiTheme="minorHAnsi"/>
          <w:sz w:val="20"/>
          <w:szCs w:val="20"/>
        </w:rPr>
        <w:t xml:space="preserve">eve essere garantito anche l’assenza di commistione di ruoli </w:t>
      </w:r>
      <w:r w:rsidR="00135BF2">
        <w:rPr>
          <w:rFonts w:asciiTheme="minorHAnsi" w:hAnsiTheme="minorHAnsi"/>
          <w:sz w:val="20"/>
          <w:szCs w:val="20"/>
        </w:rPr>
        <w:t>tra</w:t>
      </w:r>
      <w:r w:rsidR="00016533">
        <w:rPr>
          <w:rFonts w:asciiTheme="minorHAnsi" w:hAnsiTheme="minorHAnsi"/>
          <w:sz w:val="20"/>
          <w:szCs w:val="20"/>
        </w:rPr>
        <w:t xml:space="preserve"> analisti e ruoli di consulenza;</w:t>
      </w:r>
    </w:p>
    <w:p w14:paraId="1CB37F1E" w14:textId="114D5837" w:rsidR="00DE7E39" w:rsidRDefault="00135BF2" w:rsidP="00167FB3">
      <w:pPr>
        <w:pStyle w:val="Paragrafoelenco"/>
        <w:numPr>
          <w:ilvl w:val="0"/>
          <w:numId w:val="14"/>
        </w:numPr>
        <w:spacing w:line="276" w:lineRule="auto"/>
        <w:jc w:val="both"/>
        <w:rPr>
          <w:rFonts w:asciiTheme="minorHAnsi" w:hAnsiTheme="minorHAnsi"/>
          <w:sz w:val="20"/>
          <w:szCs w:val="20"/>
        </w:rPr>
      </w:pPr>
      <w:r w:rsidRPr="00DA1969">
        <w:rPr>
          <w:rFonts w:asciiTheme="minorHAnsi" w:hAnsiTheme="minorHAnsi"/>
          <w:sz w:val="20"/>
          <w:szCs w:val="20"/>
          <w:u w:val="single"/>
        </w:rPr>
        <w:t xml:space="preserve">autonomia </w:t>
      </w:r>
      <w:r w:rsidR="006E7B64" w:rsidRPr="00DA1969">
        <w:rPr>
          <w:rFonts w:asciiTheme="minorHAnsi" w:hAnsiTheme="minorHAnsi"/>
          <w:sz w:val="20"/>
          <w:szCs w:val="20"/>
          <w:u w:val="single"/>
        </w:rPr>
        <w:t>della</w:t>
      </w:r>
      <w:r w:rsidRPr="00DA1969">
        <w:rPr>
          <w:rFonts w:asciiTheme="minorHAnsi" w:hAnsiTheme="minorHAnsi"/>
          <w:sz w:val="20"/>
          <w:szCs w:val="20"/>
          <w:u w:val="single"/>
        </w:rPr>
        <w:t xml:space="preserve"> ricerca e analisi</w:t>
      </w:r>
      <w:r>
        <w:rPr>
          <w:rFonts w:asciiTheme="minorHAnsi" w:hAnsiTheme="minorHAnsi"/>
          <w:sz w:val="20"/>
          <w:szCs w:val="20"/>
        </w:rPr>
        <w:t xml:space="preserve">: </w:t>
      </w:r>
      <w:r w:rsidRPr="00135BF2">
        <w:rPr>
          <w:rFonts w:asciiTheme="minorHAnsi" w:hAnsiTheme="minorHAnsi"/>
          <w:sz w:val="20"/>
          <w:szCs w:val="20"/>
        </w:rPr>
        <w:t xml:space="preserve">è fondamentale che la </w:t>
      </w:r>
      <w:r>
        <w:rPr>
          <w:rFonts w:asciiTheme="minorHAnsi" w:hAnsiTheme="minorHAnsi"/>
          <w:sz w:val="20"/>
          <w:szCs w:val="20"/>
        </w:rPr>
        <w:t>r</w:t>
      </w:r>
      <w:r w:rsidRPr="00135BF2">
        <w:rPr>
          <w:rFonts w:asciiTheme="minorHAnsi" w:hAnsiTheme="minorHAnsi"/>
          <w:sz w:val="20"/>
          <w:szCs w:val="20"/>
        </w:rPr>
        <w:t xml:space="preserve">icerca stessa sia prodotta totalmente da </w:t>
      </w:r>
      <w:r>
        <w:rPr>
          <w:rFonts w:asciiTheme="minorHAnsi" w:hAnsiTheme="minorHAnsi"/>
          <w:sz w:val="20"/>
          <w:szCs w:val="20"/>
        </w:rPr>
        <w:t>a</w:t>
      </w:r>
      <w:r w:rsidRPr="00135BF2">
        <w:rPr>
          <w:rFonts w:asciiTheme="minorHAnsi" w:hAnsiTheme="minorHAnsi"/>
          <w:sz w:val="20"/>
          <w:szCs w:val="20"/>
        </w:rPr>
        <w:t xml:space="preserve">nalisti che siano “dipendenti” a tempo pieno della società fornitrice, i quali, al fine di evitare scenari di potenziale conflitto d’interessi, non devono possedere quote azionarie di aziende operanti in settori oggetto dell’analisi della Ricerca, nonché non devono ricoprire ruoli operativi in altre aziende (componenti di Board, consulenti, ecc). </w:t>
      </w:r>
      <w:r w:rsidR="00167FB3">
        <w:rPr>
          <w:rFonts w:asciiTheme="minorHAnsi" w:hAnsiTheme="minorHAnsi"/>
          <w:sz w:val="20"/>
          <w:szCs w:val="20"/>
        </w:rPr>
        <w:t xml:space="preserve">Gli analisti devono essere </w:t>
      </w:r>
      <w:r w:rsidR="00167FB3" w:rsidRPr="00167FB3">
        <w:rPr>
          <w:rFonts w:asciiTheme="minorHAnsi" w:hAnsiTheme="minorHAnsi"/>
          <w:sz w:val="20"/>
          <w:szCs w:val="20"/>
        </w:rPr>
        <w:t>dedicati unicamente ad attività di ricerca ed a nessuna attività di vendita, consulenza o supporto</w:t>
      </w:r>
      <w:r w:rsidR="00167FB3">
        <w:rPr>
          <w:rFonts w:asciiTheme="minorHAnsi" w:hAnsiTheme="minorHAnsi"/>
          <w:sz w:val="20"/>
          <w:szCs w:val="20"/>
        </w:rPr>
        <w:t xml:space="preserve">. </w:t>
      </w:r>
      <w:r w:rsidRPr="00135BF2">
        <w:rPr>
          <w:rFonts w:asciiTheme="minorHAnsi" w:hAnsiTheme="minorHAnsi"/>
          <w:sz w:val="20"/>
          <w:szCs w:val="20"/>
        </w:rPr>
        <w:t>Tali analisti devono essere vincolati al codice etico della azienda che ne formalizza e control</w:t>
      </w:r>
      <w:r>
        <w:rPr>
          <w:rFonts w:asciiTheme="minorHAnsi" w:hAnsiTheme="minorHAnsi"/>
          <w:sz w:val="20"/>
          <w:szCs w:val="20"/>
        </w:rPr>
        <w:t>la i principi</w:t>
      </w:r>
      <w:r w:rsidR="00016533">
        <w:rPr>
          <w:rFonts w:asciiTheme="minorHAnsi" w:hAnsiTheme="minorHAnsi"/>
          <w:sz w:val="20"/>
          <w:szCs w:val="20"/>
        </w:rPr>
        <w:t xml:space="preserve"> di indipendenza ed oggettività;</w:t>
      </w:r>
    </w:p>
    <w:p w14:paraId="2D206F3A" w14:textId="77777777" w:rsidR="001F64A2" w:rsidRDefault="001F64A2" w:rsidP="001F64A2">
      <w:pPr>
        <w:pStyle w:val="Paragrafoelenco"/>
        <w:numPr>
          <w:ilvl w:val="0"/>
          <w:numId w:val="14"/>
        </w:numPr>
        <w:spacing w:line="276" w:lineRule="auto"/>
        <w:jc w:val="both"/>
        <w:rPr>
          <w:rFonts w:asciiTheme="minorHAnsi" w:hAnsiTheme="minorHAnsi"/>
          <w:sz w:val="20"/>
          <w:szCs w:val="20"/>
        </w:rPr>
      </w:pPr>
      <w:r w:rsidRPr="00DA1969">
        <w:rPr>
          <w:rFonts w:asciiTheme="minorHAnsi" w:hAnsiTheme="minorHAnsi"/>
          <w:sz w:val="20"/>
          <w:szCs w:val="20"/>
          <w:u w:val="single"/>
        </w:rPr>
        <w:t>qualità della ricerca</w:t>
      </w:r>
      <w:r>
        <w:rPr>
          <w:rFonts w:asciiTheme="minorHAnsi" w:hAnsiTheme="minorHAnsi"/>
          <w:sz w:val="20"/>
          <w:szCs w:val="20"/>
        </w:rPr>
        <w:t xml:space="preserve">: la qualità </w:t>
      </w:r>
      <w:r w:rsidRPr="001F64A2">
        <w:rPr>
          <w:rFonts w:asciiTheme="minorHAnsi" w:hAnsiTheme="minorHAnsi"/>
          <w:sz w:val="20"/>
          <w:szCs w:val="20"/>
        </w:rPr>
        <w:t xml:space="preserve">deve essere garantita mediante un modello di raccolta di informazioni basato primariamente su una frequente e diretta interazione con una ampia e comprovata base di organizzazioni pubbliche e private nazionali ed internazionali e non </w:t>
      </w:r>
      <w:r>
        <w:rPr>
          <w:rFonts w:asciiTheme="minorHAnsi" w:hAnsiTheme="minorHAnsi"/>
          <w:sz w:val="20"/>
          <w:szCs w:val="20"/>
        </w:rPr>
        <w:t xml:space="preserve">solo </w:t>
      </w:r>
      <w:r w:rsidRPr="001F64A2">
        <w:rPr>
          <w:rFonts w:asciiTheme="minorHAnsi" w:hAnsiTheme="minorHAnsi"/>
          <w:sz w:val="20"/>
          <w:szCs w:val="20"/>
        </w:rPr>
        <w:t>da meccanismi quali survey, questionari o dati provenienti primariamente da fornitori di tecnologia e servizi;</w:t>
      </w:r>
    </w:p>
    <w:p w14:paraId="5057C8EE" w14:textId="77777777" w:rsidR="00016533" w:rsidRDefault="00016533" w:rsidP="009C344A">
      <w:pPr>
        <w:pStyle w:val="Paragrafoelenco"/>
        <w:numPr>
          <w:ilvl w:val="0"/>
          <w:numId w:val="14"/>
        </w:numPr>
        <w:spacing w:line="276" w:lineRule="auto"/>
        <w:jc w:val="both"/>
        <w:rPr>
          <w:rFonts w:asciiTheme="minorHAnsi" w:hAnsiTheme="minorHAnsi"/>
          <w:sz w:val="20"/>
          <w:szCs w:val="20"/>
        </w:rPr>
      </w:pPr>
      <w:r w:rsidRPr="00DA1969">
        <w:rPr>
          <w:rFonts w:asciiTheme="minorHAnsi" w:hAnsiTheme="minorHAnsi"/>
          <w:sz w:val="20"/>
          <w:szCs w:val="20"/>
          <w:u w:val="single"/>
        </w:rPr>
        <w:t>valenza internazionale</w:t>
      </w:r>
      <w:r>
        <w:rPr>
          <w:rFonts w:asciiTheme="minorHAnsi" w:hAnsiTheme="minorHAnsi"/>
          <w:sz w:val="20"/>
          <w:szCs w:val="20"/>
        </w:rPr>
        <w:t>: a</w:t>
      </w:r>
      <w:r w:rsidRPr="00016533">
        <w:rPr>
          <w:rFonts w:asciiTheme="minorHAnsi" w:hAnsiTheme="minorHAnsi"/>
          <w:sz w:val="20"/>
          <w:szCs w:val="20"/>
        </w:rPr>
        <w:t>l fine di assicurare che le ricerche effettuate siano valide non solo in ambito locale</w:t>
      </w:r>
      <w:r>
        <w:rPr>
          <w:rFonts w:asciiTheme="minorHAnsi" w:hAnsiTheme="minorHAnsi"/>
          <w:sz w:val="20"/>
          <w:szCs w:val="20"/>
        </w:rPr>
        <w:t xml:space="preserve">, in quanto </w:t>
      </w:r>
      <w:r w:rsidRPr="00016533">
        <w:rPr>
          <w:rFonts w:asciiTheme="minorHAnsi" w:hAnsiTheme="minorHAnsi"/>
          <w:sz w:val="20"/>
          <w:szCs w:val="20"/>
        </w:rPr>
        <w:t xml:space="preserve">le forniture di </w:t>
      </w:r>
      <w:r>
        <w:rPr>
          <w:rFonts w:asciiTheme="minorHAnsi" w:hAnsiTheme="minorHAnsi"/>
          <w:sz w:val="20"/>
          <w:szCs w:val="20"/>
        </w:rPr>
        <w:t>prodotti e servizi</w:t>
      </w:r>
      <w:r w:rsidRPr="00016533">
        <w:rPr>
          <w:rFonts w:asciiTheme="minorHAnsi" w:hAnsiTheme="minorHAnsi"/>
          <w:sz w:val="20"/>
          <w:szCs w:val="20"/>
        </w:rPr>
        <w:t xml:space="preserve"> di Sogei avviene tramite brand tecnologici internazionali</w:t>
      </w:r>
      <w:r>
        <w:rPr>
          <w:rFonts w:asciiTheme="minorHAnsi" w:hAnsiTheme="minorHAnsi"/>
          <w:sz w:val="20"/>
          <w:szCs w:val="20"/>
        </w:rPr>
        <w:t>, s</w:t>
      </w:r>
      <w:r w:rsidRPr="00016533">
        <w:rPr>
          <w:rFonts w:asciiTheme="minorHAnsi" w:hAnsiTheme="minorHAnsi"/>
          <w:sz w:val="20"/>
          <w:szCs w:val="20"/>
        </w:rPr>
        <w:t xml:space="preserve">i richiede quindi presenza internazionale stabile sia in altri paesi europei che extra europei </w:t>
      </w:r>
      <w:r>
        <w:rPr>
          <w:rFonts w:asciiTheme="minorHAnsi" w:hAnsiTheme="minorHAnsi"/>
          <w:sz w:val="20"/>
          <w:szCs w:val="20"/>
        </w:rPr>
        <w:t>con</w:t>
      </w:r>
      <w:r w:rsidRPr="00016533">
        <w:rPr>
          <w:rFonts w:asciiTheme="minorHAnsi" w:hAnsiTheme="minorHAnsi"/>
          <w:sz w:val="20"/>
          <w:szCs w:val="20"/>
        </w:rPr>
        <w:t xml:space="preserve"> strutture di ricerca ed analisti</w:t>
      </w:r>
      <w:r w:rsidR="009C344A">
        <w:rPr>
          <w:rFonts w:asciiTheme="minorHAnsi" w:hAnsiTheme="minorHAnsi"/>
          <w:sz w:val="20"/>
          <w:szCs w:val="20"/>
        </w:rPr>
        <w:t>.</w:t>
      </w:r>
    </w:p>
    <w:p w14:paraId="52C42987" w14:textId="77777777" w:rsidR="009C344A" w:rsidRDefault="009C344A" w:rsidP="009C344A">
      <w:pPr>
        <w:spacing w:line="276" w:lineRule="auto"/>
        <w:jc w:val="both"/>
        <w:rPr>
          <w:rFonts w:asciiTheme="minorHAnsi" w:hAnsiTheme="minorHAnsi"/>
          <w:sz w:val="20"/>
          <w:szCs w:val="20"/>
        </w:rPr>
      </w:pPr>
    </w:p>
    <w:p w14:paraId="4A79FC6E" w14:textId="77777777" w:rsidR="009C344A" w:rsidRDefault="009C344A" w:rsidP="009C344A">
      <w:pPr>
        <w:spacing w:line="276" w:lineRule="auto"/>
        <w:jc w:val="both"/>
        <w:rPr>
          <w:rFonts w:asciiTheme="minorHAnsi" w:hAnsiTheme="minorHAnsi"/>
          <w:sz w:val="20"/>
          <w:szCs w:val="20"/>
        </w:rPr>
      </w:pPr>
      <w:r>
        <w:rPr>
          <w:rFonts w:asciiTheme="minorHAnsi" w:hAnsiTheme="minorHAnsi"/>
          <w:sz w:val="20"/>
          <w:szCs w:val="20"/>
        </w:rPr>
        <w:t>Di seguit</w:t>
      </w:r>
      <w:r w:rsidRPr="009C344A">
        <w:rPr>
          <w:rFonts w:asciiTheme="minorHAnsi" w:hAnsiTheme="minorHAnsi"/>
          <w:sz w:val="20"/>
          <w:szCs w:val="20"/>
        </w:rPr>
        <w:t xml:space="preserve">o </w:t>
      </w:r>
      <w:r>
        <w:rPr>
          <w:rFonts w:asciiTheme="minorHAnsi" w:hAnsiTheme="minorHAnsi"/>
          <w:sz w:val="20"/>
          <w:szCs w:val="20"/>
        </w:rPr>
        <w:t xml:space="preserve">sono </w:t>
      </w:r>
      <w:r w:rsidRPr="009C344A">
        <w:rPr>
          <w:rFonts w:asciiTheme="minorHAnsi" w:hAnsiTheme="minorHAnsi"/>
          <w:sz w:val="20"/>
          <w:szCs w:val="20"/>
        </w:rPr>
        <w:t xml:space="preserve">riportati i principali ambiti di interesse di Sogei </w:t>
      </w:r>
      <w:r w:rsidR="00C47BD5">
        <w:rPr>
          <w:rFonts w:asciiTheme="minorHAnsi" w:hAnsiTheme="minorHAnsi"/>
          <w:sz w:val="20"/>
          <w:szCs w:val="20"/>
        </w:rPr>
        <w:t>e che devono necessariamente trovare riscontro nella</w:t>
      </w:r>
      <w:r w:rsidRPr="009C344A">
        <w:rPr>
          <w:rFonts w:asciiTheme="minorHAnsi" w:hAnsiTheme="minorHAnsi"/>
          <w:sz w:val="20"/>
          <w:szCs w:val="20"/>
        </w:rPr>
        <w:t xml:space="preserve"> Banca Dati ICT:</w:t>
      </w:r>
    </w:p>
    <w:p w14:paraId="44D5E060" w14:textId="77777777" w:rsidR="009C344A" w:rsidRPr="009429EB" w:rsidRDefault="009429EB" w:rsidP="009C344A">
      <w:pPr>
        <w:spacing w:line="276" w:lineRule="auto"/>
        <w:jc w:val="both"/>
        <w:rPr>
          <w:rFonts w:asciiTheme="minorHAnsi" w:hAnsiTheme="minorHAnsi"/>
          <w:sz w:val="20"/>
          <w:szCs w:val="20"/>
          <w:lang w:val="en-US"/>
        </w:rPr>
      </w:pPr>
      <w:r w:rsidRPr="009429EB">
        <w:rPr>
          <w:rFonts w:asciiTheme="minorHAnsi" w:hAnsiTheme="minorHAnsi"/>
          <w:sz w:val="20"/>
          <w:szCs w:val="20"/>
          <w:lang w:val="en-US"/>
        </w:rPr>
        <w:t xml:space="preserve">- </w:t>
      </w:r>
      <w:r w:rsidR="009C344A" w:rsidRPr="009C344A">
        <w:rPr>
          <w:rFonts w:asciiTheme="minorHAnsi" w:hAnsiTheme="minorHAnsi"/>
          <w:sz w:val="20"/>
          <w:szCs w:val="20"/>
          <w:lang w:val="x-none"/>
        </w:rPr>
        <w:t>Trend e Tecnologie e per il settore pubblico (Government cloud strategy, open government, open data, government social media, smart government, smart city, shared services, digital government</w:t>
      </w:r>
      <w:r w:rsidRPr="009429EB">
        <w:rPr>
          <w:rFonts w:asciiTheme="minorHAnsi" w:hAnsiTheme="minorHAnsi"/>
          <w:sz w:val="20"/>
          <w:szCs w:val="20"/>
          <w:lang w:val="en-US"/>
        </w:rPr>
        <w:t>;</w:t>
      </w:r>
    </w:p>
    <w:p w14:paraId="5C0DA99A"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Data Center Infrastructure (data center, software-defined, sddc, sdi, cloud, orchestration, broker, brokerage, server virtualization, openstack, IaaS, PaaS, SaaS, hyperscale, web-scale, hybrid)</w:t>
      </w:r>
      <w:r w:rsidR="009429EB" w:rsidRPr="009429EB">
        <w:rPr>
          <w:rFonts w:asciiTheme="minorHAnsi" w:hAnsiTheme="minorHAnsi"/>
          <w:sz w:val="20"/>
          <w:szCs w:val="20"/>
          <w:lang w:val="en-US"/>
        </w:rPr>
        <w:t>;</w:t>
      </w:r>
    </w:p>
    <w:p w14:paraId="133053E9"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Sourcing, Procurement e Vendor Management (Data center outsourcing, hybrid infrastructure, cloud computing managed services, Digital business rapid innovation, adaptive sourcing, Infrastructure managed services, Bimodal sourcing and service provider strategies, Outsourcing service industrialization, industrialized low cost services, Outsourcing market trends, Bimodal adaptive sourcing strategy, Sourcing models, sourcing scenarios, Outsourcing joint ventures, Outsourcing and service provider strategy)</w:t>
      </w:r>
      <w:r w:rsidR="009429EB" w:rsidRPr="009429EB">
        <w:rPr>
          <w:rFonts w:asciiTheme="minorHAnsi" w:hAnsiTheme="minorHAnsi"/>
          <w:sz w:val="20"/>
          <w:szCs w:val="20"/>
          <w:lang w:val="en-US"/>
        </w:rPr>
        <w:t>;</w:t>
      </w:r>
    </w:p>
    <w:p w14:paraId="400FD8C0"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Security &amp; Threat Intellicence ( Endpoint security market, Cloud-based security services, Threat intelligence services, IoT security, Security budgeting, Information security forecasting/market share analysis, Consumer security)</w:t>
      </w:r>
      <w:r w:rsidR="009429EB" w:rsidRPr="009429EB">
        <w:rPr>
          <w:rFonts w:asciiTheme="minorHAnsi" w:hAnsiTheme="minorHAnsi"/>
          <w:sz w:val="20"/>
          <w:szCs w:val="20"/>
          <w:lang w:val="en-US"/>
        </w:rPr>
        <w:t>;</w:t>
      </w:r>
    </w:p>
    <w:p w14:paraId="3AFB260D"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SW Licensing (Pricing, Term &amp; Conditions, Lock-in)</w:t>
      </w:r>
      <w:r w:rsidR="009429EB" w:rsidRPr="009429EB">
        <w:rPr>
          <w:rFonts w:asciiTheme="minorHAnsi" w:hAnsiTheme="minorHAnsi"/>
          <w:sz w:val="20"/>
          <w:szCs w:val="20"/>
          <w:lang w:val="en-US"/>
        </w:rPr>
        <w:t>;</w:t>
      </w:r>
    </w:p>
    <w:p w14:paraId="4FEF9491"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Mobile Security e Mobile Device Security ( Mobile application security, Mobile threat defense, Mobile malware, RPA security, API security, BYOD security, EMM enterprise mobility, Management security, Mobile device security, IoT security, Application shielding)</w:t>
      </w:r>
      <w:r w:rsidR="009429EB" w:rsidRPr="009429EB">
        <w:rPr>
          <w:rFonts w:asciiTheme="minorHAnsi" w:hAnsiTheme="minorHAnsi"/>
          <w:sz w:val="20"/>
          <w:szCs w:val="20"/>
          <w:lang w:val="en-US"/>
        </w:rPr>
        <w:t>;</w:t>
      </w:r>
    </w:p>
    <w:p w14:paraId="35236255"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xml:space="preserve">- Personal computing, end user computing (Future of endpoint computing, Mobile and endpoint computing strategies, PC procurement PC negotiation, vendor and product selection, TCO of client </w:t>
      </w:r>
      <w:r w:rsidRPr="009C344A">
        <w:rPr>
          <w:rFonts w:asciiTheme="minorHAnsi" w:hAnsiTheme="minorHAnsi"/>
          <w:sz w:val="20"/>
          <w:szCs w:val="20"/>
          <w:lang w:val="x-none"/>
        </w:rPr>
        <w:lastRenderedPageBreak/>
        <w:t>computing and mobile, building business case for client computing and BYOD initiatives, Unified workspaces, End-user services, managed workplace services, desktop outsourcing in Europe, User segmentation, Client computing technologies, Workspace aggregators, VDI, DaaS TCO )</w:t>
      </w:r>
      <w:r w:rsidR="009429EB" w:rsidRPr="009429EB">
        <w:rPr>
          <w:rFonts w:asciiTheme="minorHAnsi" w:hAnsiTheme="minorHAnsi"/>
          <w:sz w:val="20"/>
          <w:szCs w:val="20"/>
          <w:lang w:val="en-US"/>
        </w:rPr>
        <w:t>;</w:t>
      </w:r>
    </w:p>
    <w:p w14:paraId="298020AF" w14:textId="77777777" w:rsidR="009C344A" w:rsidRPr="00074AEA"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Servizi di Sviluppo BI ed Applicazioni e Tariffe Professionali (Information governance, Big data, Information strategy, Knowledge management, information monetization, Chief data officer, Analytics applications)</w:t>
      </w:r>
      <w:r w:rsidR="009429EB" w:rsidRPr="00074AEA">
        <w:rPr>
          <w:rFonts w:asciiTheme="minorHAnsi" w:hAnsiTheme="minorHAnsi"/>
          <w:sz w:val="20"/>
          <w:szCs w:val="20"/>
          <w:lang w:val="en-US"/>
        </w:rPr>
        <w:t>;</w:t>
      </w:r>
    </w:p>
    <w:p w14:paraId="3372B031"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Content &amp; Collaboration Tools ( EFSS, EMM, mobile, cloud, digital workplace, CCP, office, collaboration, content, security)</w:t>
      </w:r>
      <w:r w:rsidR="009429EB" w:rsidRPr="009429EB">
        <w:rPr>
          <w:rFonts w:asciiTheme="minorHAnsi" w:hAnsiTheme="minorHAnsi"/>
          <w:sz w:val="20"/>
          <w:szCs w:val="20"/>
          <w:lang w:val="en-US"/>
        </w:rPr>
        <w:t>;</w:t>
      </w:r>
    </w:p>
    <w:p w14:paraId="51DE20BD" w14:textId="77777777" w:rsidR="009C344A" w:rsidRPr="009429EB" w:rsidRDefault="009C344A" w:rsidP="009C344A">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Application &amp; Data Integration (Integration Infrastructure Strategies, Hybrid Integration Platform (HIP), API, Cloud Service Integration, Integration Platform-as-a- Service, iPaaS, Integration SaaS, Bimodal Integration, Do-It-Yourself Integration, Citizen Integrators, In-Memory Computing, In-Memory Data Grids (IMDG), In- Memory DBMS, SAP HANA, Oracle Coherence, Hybrid Transaction/Analytical Processing (HTAP), Application Integration, Integration Middleware, Enterprise</w:t>
      </w:r>
      <w:r w:rsidR="009429EB" w:rsidRPr="009429EB">
        <w:rPr>
          <w:rFonts w:asciiTheme="minorHAnsi" w:hAnsiTheme="minorHAnsi"/>
          <w:sz w:val="20"/>
          <w:szCs w:val="20"/>
          <w:lang w:val="en-US"/>
        </w:rPr>
        <w:t xml:space="preserve"> </w:t>
      </w:r>
      <w:r w:rsidRPr="009C344A">
        <w:rPr>
          <w:rFonts w:asciiTheme="minorHAnsi" w:hAnsiTheme="minorHAnsi"/>
          <w:sz w:val="20"/>
          <w:szCs w:val="20"/>
          <w:lang w:val="x-none"/>
        </w:rPr>
        <w:t>- Service Bus, ESB, ESB Vendors, SAP Strategy, SAP Cloud Strategy, SAP Process Orchestration (PO), SAP Cloud Platform, SAP HANA</w:t>
      </w:r>
      <w:r w:rsidR="009429EB" w:rsidRPr="009429EB">
        <w:rPr>
          <w:rFonts w:asciiTheme="minorHAnsi" w:hAnsiTheme="minorHAnsi"/>
          <w:sz w:val="20"/>
          <w:szCs w:val="20"/>
          <w:lang w:val="en-US"/>
        </w:rPr>
        <w:t>;</w:t>
      </w:r>
      <w:r w:rsidR="009429EB">
        <w:rPr>
          <w:rFonts w:asciiTheme="minorHAnsi" w:hAnsiTheme="minorHAnsi"/>
          <w:sz w:val="20"/>
          <w:szCs w:val="20"/>
          <w:lang w:val="en-US"/>
        </w:rPr>
        <w:t xml:space="preserve"> </w:t>
      </w:r>
    </w:p>
    <w:p w14:paraId="519AE3CD" w14:textId="77777777" w:rsidR="009429EB" w:rsidRPr="009429EB" w:rsidRDefault="009C344A" w:rsidP="009429EB">
      <w:pPr>
        <w:spacing w:line="276" w:lineRule="auto"/>
        <w:jc w:val="both"/>
        <w:rPr>
          <w:rFonts w:asciiTheme="minorHAnsi" w:hAnsiTheme="minorHAnsi"/>
          <w:sz w:val="20"/>
          <w:szCs w:val="20"/>
          <w:lang w:val="en-US"/>
        </w:rPr>
      </w:pPr>
      <w:r w:rsidRPr="009C344A">
        <w:rPr>
          <w:rFonts w:asciiTheme="minorHAnsi" w:hAnsiTheme="minorHAnsi"/>
          <w:sz w:val="20"/>
          <w:szCs w:val="20"/>
          <w:lang w:val="x-none"/>
        </w:rPr>
        <w:t>- SOA e API (API Economy, API Management, Digital Business Applications, Platform for Digital Business, Ecosystem for Digital Strategy, Technology Platform for Digital Business,</w:t>
      </w:r>
      <w:r w:rsidR="009429EB" w:rsidRPr="009429EB">
        <w:rPr>
          <w:rFonts w:asciiTheme="minorHAnsi" w:hAnsiTheme="minorHAnsi"/>
          <w:sz w:val="20"/>
          <w:szCs w:val="20"/>
          <w:lang w:val="en-US"/>
        </w:rPr>
        <w:t xml:space="preserve"> PaaS and iPaaS, API Economy, Application Governance, Application Rationalization)</w:t>
      </w:r>
      <w:r w:rsidR="009429EB">
        <w:rPr>
          <w:rFonts w:asciiTheme="minorHAnsi" w:hAnsiTheme="minorHAnsi"/>
          <w:sz w:val="20"/>
          <w:szCs w:val="20"/>
          <w:lang w:val="en-US"/>
        </w:rPr>
        <w:t xml:space="preserve">; </w:t>
      </w:r>
    </w:p>
    <w:p w14:paraId="3E2213F4" w14:textId="77777777" w:rsidR="009C344A" w:rsidRPr="00D04EBF" w:rsidRDefault="009429EB" w:rsidP="009429EB">
      <w:pPr>
        <w:spacing w:line="276" w:lineRule="auto"/>
        <w:jc w:val="both"/>
        <w:rPr>
          <w:rFonts w:asciiTheme="minorHAnsi" w:hAnsiTheme="minorHAnsi"/>
          <w:sz w:val="20"/>
          <w:szCs w:val="20"/>
        </w:rPr>
      </w:pPr>
      <w:r w:rsidRPr="009429EB">
        <w:rPr>
          <w:rFonts w:asciiTheme="minorHAnsi" w:hAnsiTheme="minorHAnsi"/>
          <w:sz w:val="20"/>
          <w:szCs w:val="20"/>
        </w:rPr>
        <w:t xml:space="preserve">- Ricerca e strumenti comparativi on-line interattivi per il benchmark delle caratteristiche tecniche di dettaglio e dei livelli di servizio e configurazione e del pricing di dettaglio dei principali servizi cloud offerti sul mercato (es. </w:t>
      </w:r>
      <w:r w:rsidRPr="00D04EBF">
        <w:rPr>
          <w:rFonts w:asciiTheme="minorHAnsi" w:hAnsiTheme="minorHAnsi"/>
          <w:sz w:val="20"/>
          <w:szCs w:val="20"/>
        </w:rPr>
        <w:t>AWS, MS Azure, Google, Etc).</w:t>
      </w:r>
    </w:p>
    <w:p w14:paraId="7FFB0D51" w14:textId="77777777" w:rsidR="00F22102" w:rsidRDefault="00F22102" w:rsidP="009C344A">
      <w:pPr>
        <w:spacing w:line="276" w:lineRule="auto"/>
        <w:jc w:val="both"/>
        <w:rPr>
          <w:rFonts w:asciiTheme="minorHAnsi" w:hAnsiTheme="minorHAnsi"/>
          <w:sz w:val="20"/>
          <w:szCs w:val="20"/>
        </w:rPr>
      </w:pPr>
    </w:p>
    <w:p w14:paraId="44CAB3B3" w14:textId="561AD5E5" w:rsidR="006F206C" w:rsidRDefault="006F206C" w:rsidP="009C344A">
      <w:pPr>
        <w:spacing w:line="276" w:lineRule="auto"/>
        <w:jc w:val="both"/>
        <w:rPr>
          <w:rFonts w:asciiTheme="minorHAnsi" w:hAnsiTheme="minorHAnsi"/>
          <w:sz w:val="20"/>
          <w:szCs w:val="20"/>
        </w:rPr>
      </w:pPr>
      <w:r w:rsidRPr="006F206C">
        <w:rPr>
          <w:rFonts w:asciiTheme="minorHAnsi" w:hAnsiTheme="minorHAnsi"/>
          <w:sz w:val="20"/>
          <w:szCs w:val="20"/>
        </w:rPr>
        <w:t>Sogei ha anche la necessità di calcolare e confrontare costantemente nel tempo i costi totali per i propri servizi che vengono erogati alle Amministrazioni utenti. Ciò permette di ottimizzare le tecnologie ed i relativi processi allineandoli alle condizioni del mercato. Tale necessità presuppone accesso a ricerche ed analisi dei dati di TCO per le piattaforme server attualmente in uso in Sogei quali (UNIX, Wintel, Linux),</w:t>
      </w:r>
      <w:r>
        <w:rPr>
          <w:rFonts w:asciiTheme="minorHAnsi" w:hAnsiTheme="minorHAnsi"/>
          <w:sz w:val="20"/>
          <w:szCs w:val="20"/>
        </w:rPr>
        <w:t xml:space="preserve"> </w:t>
      </w:r>
      <w:r w:rsidRPr="006F206C">
        <w:rPr>
          <w:rFonts w:asciiTheme="minorHAnsi" w:hAnsiTheme="minorHAnsi"/>
          <w:sz w:val="20"/>
          <w:szCs w:val="20"/>
        </w:rPr>
        <w:t>sui sistemi di storage e sulla rete network per confrontare correttamente i propri costi ed adottare un modello strutturato di confronto</w:t>
      </w:r>
      <w:r>
        <w:rPr>
          <w:rFonts w:asciiTheme="minorHAnsi" w:hAnsiTheme="minorHAnsi"/>
          <w:sz w:val="20"/>
          <w:szCs w:val="20"/>
        </w:rPr>
        <w:t>.</w:t>
      </w:r>
    </w:p>
    <w:p w14:paraId="34F885BE" w14:textId="77777777" w:rsidR="006F206C" w:rsidRDefault="006F206C" w:rsidP="009C344A">
      <w:pPr>
        <w:spacing w:line="276" w:lineRule="auto"/>
        <w:jc w:val="both"/>
        <w:rPr>
          <w:rFonts w:asciiTheme="minorHAnsi" w:hAnsiTheme="minorHAnsi"/>
          <w:sz w:val="20"/>
          <w:szCs w:val="20"/>
        </w:rPr>
      </w:pPr>
    </w:p>
    <w:p w14:paraId="6D2CA928" w14:textId="77777777" w:rsidR="009C344A" w:rsidRDefault="008E3805" w:rsidP="009C344A">
      <w:pPr>
        <w:spacing w:line="276" w:lineRule="auto"/>
        <w:jc w:val="both"/>
        <w:rPr>
          <w:rFonts w:asciiTheme="minorHAnsi" w:hAnsiTheme="minorHAnsi"/>
          <w:sz w:val="20"/>
          <w:szCs w:val="20"/>
        </w:rPr>
      </w:pPr>
      <w:r>
        <w:rPr>
          <w:rFonts w:asciiTheme="minorHAnsi" w:hAnsiTheme="minorHAnsi"/>
          <w:sz w:val="20"/>
          <w:szCs w:val="20"/>
          <w:lang w:val="x-none"/>
        </w:rPr>
        <w:t>La sostenibilità e la durata nel tempo</w:t>
      </w:r>
      <w:r w:rsidR="00664041" w:rsidRPr="00664041">
        <w:rPr>
          <w:rFonts w:asciiTheme="minorHAnsi" w:hAnsiTheme="minorHAnsi"/>
          <w:sz w:val="20"/>
          <w:szCs w:val="20"/>
          <w:lang w:val="x-none"/>
        </w:rPr>
        <w:t xml:space="preserve"> di Sogei</w:t>
      </w:r>
      <w:r>
        <w:rPr>
          <w:rFonts w:asciiTheme="minorHAnsi" w:hAnsiTheme="minorHAnsi"/>
          <w:sz w:val="20"/>
          <w:szCs w:val="20"/>
        </w:rPr>
        <w:t>,</w:t>
      </w:r>
      <w:r w:rsidR="00664041" w:rsidRPr="00664041">
        <w:rPr>
          <w:rFonts w:asciiTheme="minorHAnsi" w:hAnsiTheme="minorHAnsi"/>
          <w:sz w:val="20"/>
          <w:szCs w:val="20"/>
          <w:lang w:val="x-none"/>
        </w:rPr>
        <w:t xml:space="preserve"> comportano la necessità di investire sullo sviluppo delle risorse umane, attraverso percorsi di formazione, tali da valorizzarne le competenze, ovvero la capacità di disporre di un “capitale umano” in grado di sostenere la creazione di valore da parte dell’organizzazione anche sui servizi forniti.</w:t>
      </w:r>
      <w:r w:rsidR="00664041">
        <w:rPr>
          <w:rFonts w:asciiTheme="minorHAnsi" w:hAnsiTheme="minorHAnsi"/>
          <w:sz w:val="20"/>
          <w:szCs w:val="20"/>
        </w:rPr>
        <w:t xml:space="preserve"> A tal fine </w:t>
      </w:r>
      <w:r w:rsidR="00D04EBF" w:rsidRPr="00664041">
        <w:rPr>
          <w:rFonts w:asciiTheme="minorHAnsi" w:hAnsiTheme="minorHAnsi"/>
          <w:sz w:val="20"/>
          <w:szCs w:val="20"/>
          <w:lang w:val="x-none"/>
        </w:rPr>
        <w:t>per individuare soluzioni</w:t>
      </w:r>
      <w:r w:rsidR="00664041">
        <w:rPr>
          <w:rFonts w:asciiTheme="minorHAnsi" w:hAnsiTheme="minorHAnsi"/>
          <w:sz w:val="20"/>
          <w:szCs w:val="20"/>
        </w:rPr>
        <w:t>,</w:t>
      </w:r>
      <w:r w:rsidR="00D04EBF" w:rsidRPr="00664041">
        <w:rPr>
          <w:rFonts w:asciiTheme="minorHAnsi" w:hAnsiTheme="minorHAnsi"/>
          <w:sz w:val="20"/>
          <w:szCs w:val="20"/>
          <w:lang w:val="x-none"/>
        </w:rPr>
        <w:t xml:space="preserve"> azioni di sviluppo e formazione sempre aggiornate rispetto alle best practices riconosciute a livello internazionale, è necessario avere a disposizione ricerche, report, studi, benchmarks e casi concreti di esperienze nel mondo HR strettamente integrato con ricerca, report e studi nel mondo ICT.</w:t>
      </w:r>
      <w:r w:rsidR="00664041">
        <w:rPr>
          <w:rFonts w:asciiTheme="minorHAnsi" w:hAnsiTheme="minorHAnsi"/>
          <w:sz w:val="20"/>
          <w:szCs w:val="20"/>
        </w:rPr>
        <w:t xml:space="preserve"> Per Sogei è quindi necessario che nella Banca dati ICT siano comprese anche gli ambiti afferenti a Human Resource quali:</w:t>
      </w:r>
    </w:p>
    <w:p w14:paraId="656266F4" w14:textId="77777777" w:rsidR="00664041" w:rsidRPr="00664041" w:rsidRDefault="00664041" w:rsidP="00664041">
      <w:pPr>
        <w:spacing w:line="276" w:lineRule="auto"/>
        <w:jc w:val="both"/>
        <w:rPr>
          <w:rFonts w:asciiTheme="minorHAnsi" w:hAnsiTheme="minorHAnsi"/>
          <w:sz w:val="20"/>
          <w:szCs w:val="20"/>
        </w:rPr>
      </w:pPr>
      <w:r>
        <w:rPr>
          <w:rFonts w:asciiTheme="minorHAnsi" w:hAnsiTheme="minorHAnsi"/>
          <w:sz w:val="20"/>
          <w:szCs w:val="20"/>
        </w:rPr>
        <w:t xml:space="preserve">- </w:t>
      </w:r>
      <w:r w:rsidRPr="00664041">
        <w:rPr>
          <w:rFonts w:asciiTheme="minorHAnsi" w:hAnsiTheme="minorHAnsi"/>
          <w:sz w:val="20"/>
          <w:szCs w:val="20"/>
        </w:rPr>
        <w:t>Progettazione organizzativa e gestione del cambiamento (Organizational Effectiveness, Change Management, Culture)</w:t>
      </w:r>
      <w:r>
        <w:rPr>
          <w:rFonts w:asciiTheme="minorHAnsi" w:hAnsiTheme="minorHAnsi"/>
          <w:sz w:val="20"/>
          <w:szCs w:val="20"/>
        </w:rPr>
        <w:t>;</w:t>
      </w:r>
    </w:p>
    <w:p w14:paraId="0B148F90" w14:textId="77777777" w:rsidR="00664041" w:rsidRPr="00664041" w:rsidRDefault="00664041" w:rsidP="00664041">
      <w:pPr>
        <w:spacing w:line="276" w:lineRule="auto"/>
        <w:jc w:val="both"/>
        <w:rPr>
          <w:rFonts w:asciiTheme="minorHAnsi" w:hAnsiTheme="minorHAnsi"/>
          <w:sz w:val="20"/>
          <w:szCs w:val="20"/>
        </w:rPr>
      </w:pPr>
      <w:r w:rsidRPr="00664041">
        <w:rPr>
          <w:rFonts w:asciiTheme="minorHAnsi" w:hAnsiTheme="minorHAnsi"/>
          <w:sz w:val="20"/>
          <w:szCs w:val="20"/>
        </w:rPr>
        <w:t>- Luogo di lavoro digitale (Digital Workplace)</w:t>
      </w:r>
      <w:r>
        <w:rPr>
          <w:rFonts w:asciiTheme="minorHAnsi" w:hAnsiTheme="minorHAnsi"/>
          <w:sz w:val="20"/>
          <w:szCs w:val="20"/>
        </w:rPr>
        <w:t>;</w:t>
      </w:r>
    </w:p>
    <w:p w14:paraId="2ED43086" w14:textId="77777777" w:rsidR="00664041" w:rsidRPr="00664041" w:rsidRDefault="00664041" w:rsidP="00664041">
      <w:pPr>
        <w:spacing w:line="276" w:lineRule="auto"/>
        <w:jc w:val="both"/>
        <w:rPr>
          <w:rFonts w:asciiTheme="minorHAnsi" w:hAnsiTheme="minorHAnsi"/>
          <w:sz w:val="20"/>
          <w:szCs w:val="20"/>
        </w:rPr>
      </w:pPr>
      <w:r w:rsidRPr="00664041">
        <w:rPr>
          <w:rFonts w:asciiTheme="minorHAnsi" w:hAnsiTheme="minorHAnsi"/>
          <w:sz w:val="20"/>
          <w:szCs w:val="20"/>
        </w:rPr>
        <w:t>- Sviluppo e gestione inclusiva della leadership e dei talenti (Leadership Development, Success Management, Inclusive Talent and Business Processes)</w:t>
      </w:r>
      <w:r>
        <w:rPr>
          <w:rFonts w:asciiTheme="minorHAnsi" w:hAnsiTheme="minorHAnsi"/>
          <w:sz w:val="20"/>
          <w:szCs w:val="20"/>
        </w:rPr>
        <w:t>;</w:t>
      </w:r>
    </w:p>
    <w:p w14:paraId="1D565AC6" w14:textId="77777777" w:rsidR="00664041" w:rsidRDefault="00664041" w:rsidP="00664041">
      <w:pPr>
        <w:spacing w:line="276" w:lineRule="auto"/>
        <w:jc w:val="both"/>
        <w:rPr>
          <w:rFonts w:asciiTheme="minorHAnsi" w:hAnsiTheme="minorHAnsi"/>
          <w:sz w:val="20"/>
          <w:szCs w:val="20"/>
        </w:rPr>
      </w:pPr>
      <w:r w:rsidRPr="00664041">
        <w:rPr>
          <w:rFonts w:asciiTheme="minorHAnsi" w:hAnsiTheme="minorHAnsi"/>
          <w:sz w:val="20"/>
          <w:szCs w:val="20"/>
        </w:rPr>
        <w:t>- Costruire una cultura dell'apprendimento (Learning Culture</w:t>
      </w:r>
      <w:r>
        <w:rPr>
          <w:rFonts w:asciiTheme="minorHAnsi" w:hAnsiTheme="minorHAnsi"/>
          <w:sz w:val="20"/>
          <w:szCs w:val="20"/>
        </w:rPr>
        <w:t>).</w:t>
      </w:r>
    </w:p>
    <w:p w14:paraId="36E745C4" w14:textId="77777777" w:rsidR="00664041" w:rsidRPr="00664041" w:rsidRDefault="008E3805" w:rsidP="00664041">
      <w:pPr>
        <w:spacing w:line="276" w:lineRule="auto"/>
        <w:jc w:val="both"/>
        <w:rPr>
          <w:rFonts w:asciiTheme="minorHAnsi" w:hAnsiTheme="minorHAnsi"/>
          <w:sz w:val="20"/>
          <w:szCs w:val="20"/>
        </w:rPr>
      </w:pPr>
      <w:r>
        <w:rPr>
          <w:rFonts w:asciiTheme="minorHAnsi" w:hAnsiTheme="minorHAnsi"/>
          <w:sz w:val="20"/>
          <w:szCs w:val="20"/>
        </w:rPr>
        <w:t>In particolare Sogei richiede:</w:t>
      </w:r>
    </w:p>
    <w:p w14:paraId="616C520F" w14:textId="77777777" w:rsidR="008E3805" w:rsidRDefault="008E3805" w:rsidP="008E3805">
      <w:pPr>
        <w:spacing w:line="276" w:lineRule="auto"/>
        <w:jc w:val="both"/>
        <w:rPr>
          <w:rFonts w:asciiTheme="minorHAnsi" w:hAnsiTheme="minorHAnsi"/>
          <w:sz w:val="20"/>
          <w:szCs w:val="20"/>
        </w:rPr>
      </w:pPr>
      <w:r>
        <w:rPr>
          <w:rFonts w:asciiTheme="minorHAnsi" w:hAnsiTheme="minorHAnsi"/>
          <w:sz w:val="20"/>
          <w:szCs w:val="20"/>
        </w:rPr>
        <w:lastRenderedPageBreak/>
        <w:t>-</w:t>
      </w:r>
      <w:r w:rsidRPr="008E3805">
        <w:t xml:space="preserve"> </w:t>
      </w:r>
      <w:r>
        <w:rPr>
          <w:rFonts w:asciiTheme="minorHAnsi" w:hAnsiTheme="minorHAnsi"/>
          <w:sz w:val="20"/>
          <w:szCs w:val="20"/>
        </w:rPr>
        <w:t>da</w:t>
      </w:r>
      <w:r w:rsidRPr="008E3805">
        <w:rPr>
          <w:rFonts w:asciiTheme="minorHAnsi" w:hAnsiTheme="minorHAnsi"/>
          <w:sz w:val="20"/>
          <w:szCs w:val="20"/>
        </w:rPr>
        <w:t>ti di Benchmark che consentono di comparare le diverse discipline e processi HR rispetto ad un percorso di evoluzione per la trasformazione digitale:</w:t>
      </w:r>
      <w:r>
        <w:rPr>
          <w:rFonts w:asciiTheme="minorHAnsi" w:hAnsiTheme="minorHAnsi"/>
          <w:sz w:val="20"/>
          <w:szCs w:val="20"/>
        </w:rPr>
        <w:t xml:space="preserve"> </w:t>
      </w:r>
    </w:p>
    <w:p w14:paraId="1394EBD5" w14:textId="77777777" w:rsidR="008E3805" w:rsidRDefault="008E3805" w:rsidP="009F5D42">
      <w:pPr>
        <w:spacing w:line="276" w:lineRule="auto"/>
        <w:jc w:val="both"/>
        <w:rPr>
          <w:rFonts w:asciiTheme="minorHAnsi" w:hAnsiTheme="minorHAnsi"/>
          <w:sz w:val="20"/>
          <w:szCs w:val="20"/>
        </w:rPr>
      </w:pPr>
      <w:r>
        <w:rPr>
          <w:rFonts w:asciiTheme="minorHAnsi" w:hAnsiTheme="minorHAnsi"/>
          <w:sz w:val="20"/>
          <w:szCs w:val="20"/>
        </w:rPr>
        <w:t>- s</w:t>
      </w:r>
      <w:r w:rsidRPr="008E3805">
        <w:rPr>
          <w:rFonts w:asciiTheme="minorHAnsi" w:hAnsiTheme="minorHAnsi"/>
          <w:sz w:val="20"/>
          <w:szCs w:val="20"/>
        </w:rPr>
        <w:t>trumenti on-line interattivi per l’accesso a metriche di spending HR ed IT</w:t>
      </w:r>
      <w:r>
        <w:rPr>
          <w:rFonts w:asciiTheme="minorHAnsi" w:hAnsiTheme="minorHAnsi"/>
          <w:sz w:val="20"/>
          <w:szCs w:val="20"/>
        </w:rPr>
        <w:t>;</w:t>
      </w:r>
    </w:p>
    <w:p w14:paraId="532810D0" w14:textId="23A30051" w:rsidR="008E3805" w:rsidRDefault="008E3805" w:rsidP="009F5D42">
      <w:pPr>
        <w:spacing w:line="276" w:lineRule="auto"/>
        <w:jc w:val="both"/>
        <w:rPr>
          <w:rFonts w:asciiTheme="minorHAnsi" w:hAnsiTheme="minorHAnsi"/>
          <w:sz w:val="20"/>
          <w:szCs w:val="20"/>
        </w:rPr>
      </w:pPr>
      <w:r>
        <w:rPr>
          <w:rFonts w:asciiTheme="minorHAnsi" w:hAnsiTheme="minorHAnsi"/>
          <w:sz w:val="20"/>
          <w:szCs w:val="20"/>
        </w:rPr>
        <w:t>- s</w:t>
      </w:r>
      <w:r w:rsidRPr="008E3805">
        <w:rPr>
          <w:rFonts w:asciiTheme="minorHAnsi" w:hAnsiTheme="minorHAnsi"/>
          <w:sz w:val="20"/>
          <w:szCs w:val="20"/>
        </w:rPr>
        <w:t>trumenti on-line interattivi per l’accesso a metriche di staffing di sottofunzioni quali</w:t>
      </w:r>
      <w:r>
        <w:rPr>
          <w:rFonts w:asciiTheme="minorHAnsi" w:hAnsiTheme="minorHAnsi"/>
          <w:sz w:val="20"/>
          <w:szCs w:val="20"/>
        </w:rPr>
        <w:t xml:space="preserve"> </w:t>
      </w:r>
      <w:r w:rsidR="003063FE">
        <w:rPr>
          <w:rFonts w:asciiTheme="minorHAnsi" w:hAnsiTheme="minorHAnsi"/>
          <w:sz w:val="20"/>
          <w:szCs w:val="20"/>
        </w:rPr>
        <w:t>estione talenti</w:t>
      </w:r>
      <w:r w:rsidRPr="008E3805">
        <w:rPr>
          <w:rFonts w:asciiTheme="minorHAnsi" w:hAnsiTheme="minorHAnsi"/>
          <w:sz w:val="20"/>
          <w:szCs w:val="20"/>
        </w:rPr>
        <w:t>, gestione sviluppo e training, processi amministrativi hr, gestione recruiting risorse</w:t>
      </w:r>
      <w:r>
        <w:rPr>
          <w:rFonts w:asciiTheme="minorHAnsi" w:hAnsiTheme="minorHAnsi"/>
          <w:sz w:val="20"/>
          <w:szCs w:val="20"/>
        </w:rPr>
        <w:t>;</w:t>
      </w:r>
    </w:p>
    <w:p w14:paraId="4319CB83" w14:textId="77777777" w:rsidR="006F6E43" w:rsidRDefault="008E3805" w:rsidP="009C344A">
      <w:pPr>
        <w:spacing w:line="276" w:lineRule="auto"/>
        <w:jc w:val="both"/>
        <w:rPr>
          <w:rFonts w:asciiTheme="minorHAnsi" w:hAnsiTheme="minorHAnsi"/>
          <w:sz w:val="20"/>
          <w:szCs w:val="20"/>
        </w:rPr>
      </w:pPr>
      <w:r>
        <w:rPr>
          <w:rFonts w:asciiTheme="minorHAnsi" w:hAnsiTheme="minorHAnsi"/>
          <w:sz w:val="20"/>
          <w:szCs w:val="20"/>
        </w:rPr>
        <w:t xml:space="preserve">- </w:t>
      </w:r>
      <w:r w:rsidR="006F6E43">
        <w:rPr>
          <w:rFonts w:asciiTheme="minorHAnsi" w:hAnsiTheme="minorHAnsi"/>
          <w:sz w:val="20"/>
          <w:szCs w:val="20"/>
        </w:rPr>
        <w:t>s</w:t>
      </w:r>
      <w:r w:rsidR="006F6E43" w:rsidRPr="006F6E43">
        <w:rPr>
          <w:rFonts w:asciiTheme="minorHAnsi" w:hAnsiTheme="minorHAnsi"/>
          <w:sz w:val="20"/>
          <w:szCs w:val="20"/>
        </w:rPr>
        <w:t xml:space="preserve">trumenti diagnostici di valutazione della maturità e </w:t>
      </w:r>
      <w:r w:rsidR="006F6E43">
        <w:rPr>
          <w:rFonts w:asciiTheme="minorHAnsi" w:hAnsiTheme="minorHAnsi"/>
          <w:sz w:val="20"/>
          <w:szCs w:val="20"/>
        </w:rPr>
        <w:t>di</w:t>
      </w:r>
      <w:r w:rsidR="006F6E43" w:rsidRPr="006F6E43">
        <w:rPr>
          <w:rFonts w:asciiTheme="minorHAnsi" w:hAnsiTheme="minorHAnsi"/>
          <w:sz w:val="20"/>
          <w:szCs w:val="20"/>
        </w:rPr>
        <w:t xml:space="preserve"> pianificazione delle azioni di miglioramento delle principali pratiche di trasformazione digitale per le risorse umane</w:t>
      </w:r>
      <w:r w:rsidR="006F6E43">
        <w:rPr>
          <w:rFonts w:asciiTheme="minorHAnsi" w:hAnsiTheme="minorHAnsi"/>
          <w:sz w:val="20"/>
          <w:szCs w:val="20"/>
        </w:rPr>
        <w:t xml:space="preserve">: </w:t>
      </w:r>
    </w:p>
    <w:p w14:paraId="4FA13329" w14:textId="77777777" w:rsidR="006F6E43" w:rsidRDefault="006F6E43" w:rsidP="006F6E43">
      <w:pPr>
        <w:spacing w:line="276" w:lineRule="auto"/>
        <w:ind w:firstLine="708"/>
        <w:jc w:val="both"/>
        <w:rPr>
          <w:rFonts w:asciiTheme="minorHAnsi" w:hAnsiTheme="minorHAnsi"/>
          <w:sz w:val="20"/>
          <w:szCs w:val="20"/>
        </w:rPr>
      </w:pPr>
      <w:r>
        <w:rPr>
          <w:rFonts w:asciiTheme="minorHAnsi" w:hAnsiTheme="minorHAnsi"/>
          <w:sz w:val="20"/>
          <w:szCs w:val="20"/>
        </w:rPr>
        <w:t>- analytics per la gestione talenti;</w:t>
      </w:r>
    </w:p>
    <w:p w14:paraId="76348C2D" w14:textId="77777777" w:rsidR="006F6E43" w:rsidRDefault="006F6E43" w:rsidP="006F6E43">
      <w:pPr>
        <w:spacing w:line="276" w:lineRule="auto"/>
        <w:ind w:firstLine="708"/>
        <w:jc w:val="both"/>
        <w:rPr>
          <w:rFonts w:asciiTheme="minorHAnsi" w:hAnsiTheme="minorHAnsi"/>
          <w:sz w:val="20"/>
          <w:szCs w:val="20"/>
        </w:rPr>
      </w:pPr>
      <w:r>
        <w:rPr>
          <w:rFonts w:asciiTheme="minorHAnsi" w:hAnsiTheme="minorHAnsi"/>
          <w:sz w:val="20"/>
          <w:szCs w:val="20"/>
        </w:rPr>
        <w:t>- recruiting delle risorse nel contesto della trasformazione digitale;</w:t>
      </w:r>
    </w:p>
    <w:p w14:paraId="58F283D8" w14:textId="77777777" w:rsidR="006F6E43" w:rsidRPr="006F6E43" w:rsidRDefault="006F6E43" w:rsidP="006F6E43">
      <w:pPr>
        <w:spacing w:line="276" w:lineRule="auto"/>
        <w:ind w:firstLine="708"/>
        <w:jc w:val="both"/>
        <w:rPr>
          <w:rFonts w:asciiTheme="minorHAnsi" w:hAnsiTheme="minorHAnsi"/>
          <w:sz w:val="20"/>
          <w:szCs w:val="20"/>
          <w:lang w:val="en-US"/>
        </w:rPr>
      </w:pPr>
      <w:r>
        <w:rPr>
          <w:rFonts w:asciiTheme="minorHAnsi" w:hAnsiTheme="minorHAnsi"/>
          <w:sz w:val="20"/>
          <w:szCs w:val="20"/>
          <w:lang w:val="en-US"/>
        </w:rPr>
        <w:t>- busines</w:t>
      </w:r>
      <w:r w:rsidRPr="006F6E43">
        <w:rPr>
          <w:rFonts w:asciiTheme="minorHAnsi" w:hAnsiTheme="minorHAnsi"/>
          <w:sz w:val="20"/>
          <w:szCs w:val="20"/>
          <w:lang w:val="en-US"/>
        </w:rPr>
        <w:t>s alignment per HR ed IT</w:t>
      </w:r>
      <w:r>
        <w:rPr>
          <w:rFonts w:asciiTheme="minorHAnsi" w:hAnsiTheme="minorHAnsi"/>
          <w:sz w:val="20"/>
          <w:szCs w:val="20"/>
          <w:lang w:val="en-US"/>
        </w:rPr>
        <w:t>;</w:t>
      </w:r>
    </w:p>
    <w:p w14:paraId="6AB8EC14" w14:textId="77777777" w:rsidR="009C344A" w:rsidRDefault="00540613" w:rsidP="009C344A">
      <w:pPr>
        <w:spacing w:line="276" w:lineRule="auto"/>
        <w:jc w:val="both"/>
        <w:rPr>
          <w:rFonts w:asciiTheme="minorHAnsi" w:hAnsiTheme="minorHAnsi"/>
          <w:sz w:val="20"/>
          <w:szCs w:val="20"/>
        </w:rPr>
      </w:pPr>
      <w:r>
        <w:rPr>
          <w:rFonts w:asciiTheme="minorHAnsi" w:hAnsiTheme="minorHAnsi"/>
          <w:sz w:val="20"/>
          <w:szCs w:val="20"/>
        </w:rPr>
        <w:t xml:space="preserve">- </w:t>
      </w:r>
      <w:r w:rsidR="008E3805">
        <w:rPr>
          <w:rFonts w:asciiTheme="minorHAnsi" w:hAnsiTheme="minorHAnsi"/>
          <w:sz w:val="20"/>
          <w:szCs w:val="20"/>
        </w:rPr>
        <w:t>r</w:t>
      </w:r>
      <w:r>
        <w:rPr>
          <w:rFonts w:asciiTheme="minorHAnsi" w:hAnsiTheme="minorHAnsi"/>
          <w:sz w:val="20"/>
          <w:szCs w:val="20"/>
        </w:rPr>
        <w:t>icerca e casi di studio r</w:t>
      </w:r>
      <w:r w:rsidR="008E3805" w:rsidRPr="008E3805">
        <w:rPr>
          <w:rFonts w:asciiTheme="minorHAnsi" w:hAnsiTheme="minorHAnsi"/>
          <w:sz w:val="20"/>
          <w:szCs w:val="20"/>
        </w:rPr>
        <w:t>eali sulle principali discipline a supporto della trasformazione digitale: ricerca consistente in casi di studio reali e best practive operative per le varie discipline di seguito riportate. La ricerca ed i dati hanno natura sia strategica che operativa, comprendono esempi reali di metodologie ed approcci così come adottate dalle specifiche organizzazioni</w:t>
      </w:r>
    </w:p>
    <w:p w14:paraId="5345A9B6" w14:textId="77777777" w:rsidR="00540613" w:rsidRDefault="00540613" w:rsidP="009C344A">
      <w:pPr>
        <w:spacing w:line="276" w:lineRule="auto"/>
        <w:jc w:val="both"/>
        <w:rPr>
          <w:rFonts w:asciiTheme="minorHAnsi" w:hAnsiTheme="minorHAnsi"/>
          <w:sz w:val="20"/>
          <w:szCs w:val="20"/>
        </w:rPr>
      </w:pPr>
      <w:r>
        <w:rPr>
          <w:rFonts w:asciiTheme="minorHAnsi" w:hAnsiTheme="minorHAnsi"/>
          <w:sz w:val="20"/>
          <w:szCs w:val="20"/>
        </w:rPr>
        <w:t>- ricerca s</w:t>
      </w:r>
      <w:r w:rsidRPr="00540613">
        <w:rPr>
          <w:rFonts w:asciiTheme="minorHAnsi" w:hAnsiTheme="minorHAnsi"/>
          <w:sz w:val="20"/>
          <w:szCs w:val="20"/>
        </w:rPr>
        <w:t>trategica per la digitalizzazione della funzione HR</w:t>
      </w:r>
      <w:r>
        <w:rPr>
          <w:rFonts w:asciiTheme="minorHAnsi" w:hAnsiTheme="minorHAnsi"/>
          <w:sz w:val="20"/>
          <w:szCs w:val="20"/>
        </w:rPr>
        <w:t xml:space="preserve"> </w:t>
      </w:r>
      <w:r w:rsidRPr="00540613">
        <w:rPr>
          <w:rFonts w:asciiTheme="minorHAnsi" w:hAnsiTheme="minorHAnsi"/>
          <w:sz w:val="20"/>
          <w:szCs w:val="20"/>
        </w:rPr>
        <w:t>e la sua integrazio</w:t>
      </w:r>
      <w:r>
        <w:rPr>
          <w:rFonts w:asciiTheme="minorHAnsi" w:hAnsiTheme="minorHAnsi"/>
          <w:sz w:val="20"/>
          <w:szCs w:val="20"/>
        </w:rPr>
        <w:t>ne o fusione con la funzione IT.</w:t>
      </w:r>
    </w:p>
    <w:p w14:paraId="328C7AEB" w14:textId="77777777" w:rsidR="00540613" w:rsidRDefault="00540613" w:rsidP="009C344A">
      <w:pPr>
        <w:spacing w:line="276" w:lineRule="auto"/>
        <w:jc w:val="both"/>
        <w:rPr>
          <w:rFonts w:asciiTheme="minorHAnsi" w:hAnsiTheme="minorHAnsi"/>
          <w:sz w:val="20"/>
          <w:szCs w:val="20"/>
        </w:rPr>
      </w:pPr>
    </w:p>
    <w:p w14:paraId="52544E01" w14:textId="3441D515" w:rsidR="00540613" w:rsidRPr="00D04EBF" w:rsidRDefault="000C7814" w:rsidP="009C344A">
      <w:pPr>
        <w:spacing w:line="276" w:lineRule="auto"/>
        <w:jc w:val="both"/>
        <w:rPr>
          <w:rFonts w:asciiTheme="minorHAnsi" w:hAnsiTheme="minorHAnsi"/>
          <w:sz w:val="20"/>
          <w:szCs w:val="20"/>
        </w:rPr>
      </w:pPr>
      <w:r w:rsidRPr="008B350D">
        <w:rPr>
          <w:rFonts w:asciiTheme="minorHAnsi" w:hAnsiTheme="minorHAnsi"/>
          <w:sz w:val="20"/>
          <w:szCs w:val="20"/>
        </w:rPr>
        <w:t xml:space="preserve">Considerato che la ricerca ed il supporto decisionale dovrà essere indirizzato primariamente alle figure manageriali delle Direzioni Sogei, si rende necessario anche un supporto personalizzato garantito con l’assegnazione di un team di </w:t>
      </w:r>
      <w:r w:rsidR="001760E4" w:rsidRPr="008B350D">
        <w:rPr>
          <w:rFonts w:asciiTheme="minorHAnsi" w:hAnsiTheme="minorHAnsi"/>
          <w:sz w:val="20"/>
          <w:szCs w:val="20"/>
        </w:rPr>
        <w:t>e</w:t>
      </w:r>
      <w:r w:rsidRPr="008B350D">
        <w:rPr>
          <w:rFonts w:asciiTheme="minorHAnsi" w:hAnsiTheme="minorHAnsi"/>
          <w:sz w:val="20"/>
          <w:szCs w:val="20"/>
        </w:rPr>
        <w:t xml:space="preserve">sperti italiani che non svolgano attività di ricerca, consulenza o vendita. Tale supporto è punto di riferimento per tutti gli aspetti di comprensione e contestualizzazione ricerca inerenti il servizio stesso, di elevata esperienza e con presenza locale. </w:t>
      </w:r>
    </w:p>
    <w:p w14:paraId="074164E4" w14:textId="2D911AA2" w:rsidR="009C344A" w:rsidRDefault="009C344A" w:rsidP="009C344A">
      <w:pPr>
        <w:spacing w:line="276" w:lineRule="auto"/>
        <w:jc w:val="both"/>
        <w:rPr>
          <w:rFonts w:asciiTheme="minorHAnsi" w:hAnsiTheme="minorHAnsi"/>
          <w:sz w:val="20"/>
          <w:szCs w:val="20"/>
        </w:rPr>
      </w:pPr>
    </w:p>
    <w:p w14:paraId="490AE803" w14:textId="0C31CC3A" w:rsidR="00EE7445" w:rsidRDefault="0090255B" w:rsidP="0090255B">
      <w:pPr>
        <w:spacing w:line="276" w:lineRule="auto"/>
        <w:jc w:val="both"/>
        <w:rPr>
          <w:rFonts w:asciiTheme="minorHAnsi" w:hAnsiTheme="minorHAnsi"/>
          <w:sz w:val="20"/>
          <w:szCs w:val="20"/>
        </w:rPr>
      </w:pPr>
      <w:r>
        <w:rPr>
          <w:rFonts w:asciiTheme="minorHAnsi" w:hAnsiTheme="minorHAnsi"/>
          <w:sz w:val="20"/>
          <w:szCs w:val="20"/>
        </w:rPr>
        <w:t>L’accesso alle banche dati ICT e HR</w:t>
      </w:r>
      <w:r w:rsidRPr="0090255B">
        <w:rPr>
          <w:rFonts w:asciiTheme="minorHAnsi" w:hAnsiTheme="minorHAnsi"/>
          <w:sz w:val="20"/>
          <w:szCs w:val="20"/>
        </w:rPr>
        <w:t xml:space="preserve"> </w:t>
      </w:r>
      <w:r>
        <w:rPr>
          <w:rFonts w:asciiTheme="minorHAnsi" w:hAnsiTheme="minorHAnsi"/>
          <w:sz w:val="20"/>
          <w:szCs w:val="20"/>
        </w:rPr>
        <w:t xml:space="preserve">deve </w:t>
      </w:r>
      <w:r w:rsidRPr="0090255B">
        <w:rPr>
          <w:rFonts w:asciiTheme="minorHAnsi" w:hAnsiTheme="minorHAnsi"/>
          <w:sz w:val="20"/>
          <w:szCs w:val="20"/>
        </w:rPr>
        <w:t xml:space="preserve">avvenire sia attraverso web/home-page personalizzata sia tramite </w:t>
      </w:r>
      <w:r w:rsidR="00AB2032">
        <w:rPr>
          <w:rFonts w:asciiTheme="minorHAnsi" w:hAnsiTheme="minorHAnsi"/>
          <w:sz w:val="20"/>
          <w:szCs w:val="20"/>
        </w:rPr>
        <w:t>“App” nativa per smartphones o t</w:t>
      </w:r>
      <w:r w:rsidRPr="0090255B">
        <w:rPr>
          <w:rFonts w:asciiTheme="minorHAnsi" w:hAnsiTheme="minorHAnsi"/>
          <w:sz w:val="20"/>
          <w:szCs w:val="20"/>
        </w:rPr>
        <w:t>ablet</w:t>
      </w:r>
      <w:r>
        <w:rPr>
          <w:rFonts w:asciiTheme="minorHAnsi" w:hAnsiTheme="minorHAnsi"/>
          <w:sz w:val="20"/>
          <w:szCs w:val="20"/>
        </w:rPr>
        <w:t xml:space="preserve">. </w:t>
      </w:r>
      <w:r w:rsidR="00EE7445" w:rsidRPr="00EE7445">
        <w:rPr>
          <w:rFonts w:asciiTheme="minorHAnsi" w:hAnsiTheme="minorHAnsi"/>
          <w:sz w:val="20"/>
          <w:szCs w:val="20"/>
        </w:rPr>
        <w:t>La ricerca on line disponibile</w:t>
      </w:r>
      <w:r w:rsidR="00EE7445">
        <w:rPr>
          <w:rFonts w:asciiTheme="minorHAnsi" w:hAnsiTheme="minorHAnsi"/>
          <w:sz w:val="20"/>
          <w:szCs w:val="20"/>
        </w:rPr>
        <w:t xml:space="preserve"> nel portale deve essere diretta</w:t>
      </w:r>
      <w:r w:rsidR="00EE7445" w:rsidRPr="00EE7445">
        <w:rPr>
          <w:rFonts w:asciiTheme="minorHAnsi" w:hAnsiTheme="minorHAnsi"/>
          <w:sz w:val="20"/>
          <w:szCs w:val="20"/>
        </w:rPr>
        <w:t xml:space="preserve"> ad organizzazioni che usano la tecnologia e non ai Vendor di mercato che offrono servizi o prodotti (esempi di analisi per Vendor di mercato: market trends, market-share, go-to-market models, customer segmentation e supporto al marketing dei fornitori, ecc.) né, altresì, a ruoli di marketing o comunicazione</w:t>
      </w:r>
    </w:p>
    <w:p w14:paraId="6AE7C70E" w14:textId="5DC8F7A3" w:rsidR="00665528" w:rsidRPr="0090255B" w:rsidRDefault="00665528" w:rsidP="0090255B">
      <w:pPr>
        <w:spacing w:line="276" w:lineRule="auto"/>
        <w:jc w:val="both"/>
        <w:rPr>
          <w:rFonts w:asciiTheme="minorHAnsi" w:hAnsiTheme="minorHAnsi"/>
          <w:sz w:val="20"/>
          <w:szCs w:val="20"/>
        </w:rPr>
      </w:pPr>
      <w:r>
        <w:rPr>
          <w:rFonts w:asciiTheme="minorHAnsi" w:hAnsiTheme="minorHAnsi"/>
          <w:sz w:val="20"/>
          <w:szCs w:val="20"/>
        </w:rPr>
        <w:t>D</w:t>
      </w:r>
      <w:r w:rsidRPr="00665528">
        <w:rPr>
          <w:rFonts w:asciiTheme="minorHAnsi" w:hAnsiTheme="minorHAnsi"/>
          <w:sz w:val="20"/>
          <w:szCs w:val="20"/>
        </w:rPr>
        <w:t>ovrà essere possibile, oltre alla consultazione online dei documenti presenti sul portale, anche il loro download per una consultazione in locale in formato standard Pdf o MS Office</w:t>
      </w:r>
      <w:r>
        <w:rPr>
          <w:rFonts w:asciiTheme="minorHAnsi" w:hAnsiTheme="minorHAnsi"/>
          <w:sz w:val="20"/>
          <w:szCs w:val="20"/>
        </w:rPr>
        <w:t>.</w:t>
      </w:r>
    </w:p>
    <w:p w14:paraId="72C84136" w14:textId="77777777" w:rsidR="00DC69C7" w:rsidRDefault="00522FB0">
      <w:pPr>
        <w:pStyle w:val="Titolo1"/>
        <w:numPr>
          <w:ilvl w:val="0"/>
          <w:numId w:val="0"/>
        </w:numPr>
        <w:rPr>
          <w:rFonts w:ascii="Calibri" w:hAnsi="Calibri"/>
          <w:szCs w:val="22"/>
        </w:rPr>
      </w:pPr>
      <w:r>
        <w:rPr>
          <w:rFonts w:ascii="Calibri" w:hAnsi="Calibri"/>
          <w:szCs w:val="22"/>
        </w:rPr>
        <w:t>Domande</w:t>
      </w:r>
    </w:p>
    <w:p w14:paraId="077AB247"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A025F59" w14:textId="77777777">
        <w:trPr>
          <w:trHeight w:val="1824"/>
        </w:trPr>
        <w:tc>
          <w:tcPr>
            <w:tcW w:w="8494" w:type="dxa"/>
            <w:shd w:val="clear" w:color="auto" w:fill="F2F2F2" w:themeFill="background1" w:themeFillShade="F2"/>
          </w:tcPr>
          <w:p w14:paraId="0915F270" w14:textId="77777777" w:rsidR="00DC69C7" w:rsidRDefault="00DC69C7">
            <w:pPr>
              <w:jc w:val="both"/>
              <w:rPr>
                <w:rFonts w:asciiTheme="minorHAnsi" w:hAnsiTheme="minorHAnsi" w:cs="Arial"/>
                <w:bCs/>
                <w:sz w:val="20"/>
                <w:szCs w:val="20"/>
              </w:rPr>
            </w:pPr>
          </w:p>
        </w:tc>
      </w:tr>
    </w:tbl>
    <w:p w14:paraId="381096B3" w14:textId="77777777" w:rsidR="00DC69C7" w:rsidRDefault="00DC69C7">
      <w:pPr>
        <w:spacing w:line="360" w:lineRule="auto"/>
        <w:jc w:val="both"/>
        <w:rPr>
          <w:rFonts w:ascii="Calibri" w:hAnsi="Calibri" w:cs="Arial"/>
          <w:sz w:val="20"/>
          <w:szCs w:val="20"/>
        </w:rPr>
      </w:pPr>
    </w:p>
    <w:p w14:paraId="6F7221CC"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In relazione a quanto compreso nell’oggetto dell’iniziativa</w:t>
      </w:r>
      <w:r w:rsidR="00952037">
        <w:rPr>
          <w:rFonts w:ascii="Calibri" w:hAnsi="Calibri" w:cs="Arial"/>
          <w:sz w:val="20"/>
          <w:szCs w:val="20"/>
        </w:rPr>
        <w:t xml:space="preserve"> </w:t>
      </w:r>
      <w:r w:rsidR="00952037" w:rsidRPr="00952037">
        <w:rPr>
          <w:rFonts w:ascii="Calibri" w:hAnsi="Calibri" w:cs="Arial"/>
          <w:sz w:val="20"/>
          <w:szCs w:val="20"/>
        </w:rPr>
        <w:t>servizi di banche dati ICT per il supporto strategico</w:t>
      </w:r>
      <w:r>
        <w:rPr>
          <w:rFonts w:ascii="Calibri" w:hAnsi="Calibri" w:cs="Arial"/>
          <w:sz w:val="20"/>
          <w:szCs w:val="20"/>
        </w:rPr>
        <w:t xml:space="preserve"> 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2780E7B" w14:textId="77777777">
        <w:trPr>
          <w:trHeight w:val="1824"/>
        </w:trPr>
        <w:tc>
          <w:tcPr>
            <w:tcW w:w="8494" w:type="dxa"/>
            <w:shd w:val="clear" w:color="auto" w:fill="F2F2F2" w:themeFill="background1" w:themeFillShade="F2"/>
          </w:tcPr>
          <w:p w14:paraId="088787F9" w14:textId="77777777" w:rsidR="00DC69C7" w:rsidRDefault="00DC69C7">
            <w:pPr>
              <w:jc w:val="both"/>
              <w:rPr>
                <w:rFonts w:asciiTheme="minorHAnsi" w:hAnsiTheme="minorHAnsi" w:cs="Arial"/>
                <w:bCs/>
                <w:sz w:val="20"/>
                <w:szCs w:val="20"/>
              </w:rPr>
            </w:pPr>
          </w:p>
        </w:tc>
      </w:tr>
    </w:tbl>
    <w:p w14:paraId="62D07945" w14:textId="77777777" w:rsidR="00DC69C7" w:rsidRDefault="00DC69C7">
      <w:pPr>
        <w:spacing w:line="360" w:lineRule="auto"/>
        <w:jc w:val="both"/>
        <w:rPr>
          <w:rFonts w:ascii="Calibri" w:hAnsi="Calibri" w:cs="Arial"/>
          <w:sz w:val="20"/>
          <w:szCs w:val="20"/>
        </w:rPr>
      </w:pPr>
    </w:p>
    <w:p w14:paraId="6A544BE1" w14:textId="5819A0D8" w:rsidR="00443AAF" w:rsidRDefault="009F5D42" w:rsidP="009F5D42">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L’Azienda ha </w:t>
      </w:r>
      <w:r w:rsidRPr="009F5D42">
        <w:rPr>
          <w:rFonts w:ascii="Calibri" w:hAnsi="Calibri" w:cs="Arial"/>
          <w:sz w:val="20"/>
          <w:szCs w:val="20"/>
        </w:rPr>
        <w:t>sedi operative, e non meramente commerciali, sul territorio italiano, indispensabile per consentire una continuità di rapporti diretti</w:t>
      </w:r>
      <w:r>
        <w:rPr>
          <w:rFonts w:ascii="Calibri" w:hAnsi="Calibri" w:cs="Arial"/>
          <w:sz w:val="20"/>
          <w:szCs w:val="20"/>
        </w:rPr>
        <w:t xml:space="preserve"> ? Indicare le sedi operative.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F5D42" w14:paraId="5A0E27E8" w14:textId="77777777" w:rsidTr="00FE582E">
        <w:trPr>
          <w:trHeight w:val="1824"/>
        </w:trPr>
        <w:tc>
          <w:tcPr>
            <w:tcW w:w="8494" w:type="dxa"/>
            <w:shd w:val="clear" w:color="auto" w:fill="F2F2F2" w:themeFill="background1" w:themeFillShade="F2"/>
          </w:tcPr>
          <w:p w14:paraId="138B176B" w14:textId="77777777" w:rsidR="009F5D42" w:rsidRPr="009F5D42" w:rsidRDefault="009F5D42" w:rsidP="009F5D42">
            <w:pPr>
              <w:jc w:val="both"/>
              <w:rPr>
                <w:rFonts w:asciiTheme="minorHAnsi" w:hAnsiTheme="minorHAnsi" w:cs="Arial"/>
                <w:bCs/>
                <w:sz w:val="20"/>
                <w:szCs w:val="20"/>
              </w:rPr>
            </w:pPr>
          </w:p>
        </w:tc>
      </w:tr>
    </w:tbl>
    <w:p w14:paraId="5D861DE6" w14:textId="77777777" w:rsidR="009F5D42" w:rsidRDefault="009F5D42" w:rsidP="009F5D42">
      <w:pPr>
        <w:spacing w:after="120" w:line="276" w:lineRule="auto"/>
        <w:ind w:left="360"/>
        <w:jc w:val="both"/>
        <w:rPr>
          <w:rFonts w:ascii="Calibri" w:hAnsi="Calibri" w:cs="Arial"/>
          <w:sz w:val="20"/>
          <w:szCs w:val="20"/>
        </w:rPr>
      </w:pPr>
    </w:p>
    <w:p w14:paraId="72C93E2E" w14:textId="53FB4A0A"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w:t>
      </w:r>
      <w:r w:rsidR="00C77BD2">
        <w:rPr>
          <w:rFonts w:ascii="Calibri" w:hAnsi="Calibri" w:cs="Arial"/>
          <w:sz w:val="20"/>
          <w:szCs w:val="20"/>
        </w:rPr>
        <w:t xml:space="preserve"> </w:t>
      </w:r>
      <w:r w:rsidR="00C77BD2" w:rsidRPr="00952037">
        <w:rPr>
          <w:rFonts w:ascii="Calibri" w:hAnsi="Calibri" w:cs="Arial"/>
          <w:sz w:val="20"/>
          <w:szCs w:val="20"/>
        </w:rPr>
        <w:t>servizi di banche dati ICT per il supporto strategico</w:t>
      </w:r>
      <w:r>
        <w:rPr>
          <w:rFonts w:ascii="Calibri" w:hAnsi="Calibri" w:cs="Arial"/>
          <w:sz w:val="20"/>
          <w:szCs w:val="20"/>
        </w:rPr>
        <w:t xml:space="preserve">, descrivere le politiche commerciali,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7F59CC1" w14:textId="77777777">
        <w:trPr>
          <w:trHeight w:val="1824"/>
        </w:trPr>
        <w:tc>
          <w:tcPr>
            <w:tcW w:w="8494" w:type="dxa"/>
            <w:shd w:val="clear" w:color="auto" w:fill="F2F2F2" w:themeFill="background1" w:themeFillShade="F2"/>
          </w:tcPr>
          <w:p w14:paraId="2D635D0E" w14:textId="77777777" w:rsidR="00DC69C7" w:rsidRDefault="00DC69C7">
            <w:pPr>
              <w:jc w:val="both"/>
              <w:rPr>
                <w:rFonts w:asciiTheme="minorHAnsi" w:hAnsiTheme="minorHAnsi" w:cs="Arial"/>
                <w:bCs/>
                <w:sz w:val="20"/>
                <w:szCs w:val="20"/>
              </w:rPr>
            </w:pPr>
          </w:p>
        </w:tc>
      </w:tr>
    </w:tbl>
    <w:p w14:paraId="048B7A93" w14:textId="77777777" w:rsidR="00DC69C7" w:rsidRDefault="00DC69C7">
      <w:pPr>
        <w:spacing w:line="360" w:lineRule="auto"/>
        <w:jc w:val="both"/>
        <w:rPr>
          <w:rFonts w:ascii="Calibri" w:hAnsi="Calibri" w:cs="Arial"/>
          <w:sz w:val="20"/>
          <w:szCs w:val="20"/>
        </w:rPr>
      </w:pPr>
    </w:p>
    <w:p w14:paraId="75EA0070" w14:textId="77777777"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w:t>
      </w:r>
      <w:r w:rsidR="00C77BD2">
        <w:rPr>
          <w:rFonts w:ascii="Calibri" w:hAnsi="Calibri" w:cs="Arial"/>
          <w:sz w:val="20"/>
          <w:szCs w:val="20"/>
        </w:rPr>
        <w:t>la produzione e l’inserimento della ricerca nella banca dati ICT, nelle modalità indicate sopra</w:t>
      </w:r>
      <w:r>
        <w:rPr>
          <w:rFonts w:ascii="Calibri" w:hAnsi="Calibri" w:cs="Arial"/>
          <w:sz w:val="20"/>
          <w:szCs w:val="20"/>
        </w:rPr>
        <w:t>,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5511CAF" w14:textId="77777777">
        <w:trPr>
          <w:trHeight w:val="1824"/>
        </w:trPr>
        <w:tc>
          <w:tcPr>
            <w:tcW w:w="8494" w:type="dxa"/>
            <w:shd w:val="clear" w:color="auto" w:fill="F2F2F2" w:themeFill="background1" w:themeFillShade="F2"/>
          </w:tcPr>
          <w:p w14:paraId="2D1FBAE1" w14:textId="77777777" w:rsidR="00DC69C7" w:rsidRDefault="00DC69C7">
            <w:pPr>
              <w:jc w:val="both"/>
              <w:rPr>
                <w:rFonts w:asciiTheme="minorHAnsi" w:hAnsiTheme="minorHAnsi" w:cs="Arial"/>
                <w:bCs/>
                <w:sz w:val="20"/>
                <w:szCs w:val="20"/>
              </w:rPr>
            </w:pPr>
          </w:p>
        </w:tc>
      </w:tr>
    </w:tbl>
    <w:p w14:paraId="03C64257" w14:textId="77777777" w:rsidR="00DC69C7" w:rsidRDefault="00DC69C7">
      <w:pPr>
        <w:jc w:val="both"/>
        <w:rPr>
          <w:rFonts w:ascii="Calibri" w:hAnsi="Calibri"/>
          <w:sz w:val="20"/>
          <w:szCs w:val="20"/>
        </w:rPr>
      </w:pPr>
    </w:p>
    <w:p w14:paraId="67EBB222" w14:textId="77777777" w:rsidR="00C77BD2" w:rsidRDefault="00C77BD2" w:rsidP="00C77BD2">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Specificare se le attività di supporto per le figure manageriali di Sogei, nelle modalità indicate sopra,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77BD2" w14:paraId="07958095" w14:textId="77777777" w:rsidTr="00FE582E">
        <w:trPr>
          <w:trHeight w:val="1824"/>
        </w:trPr>
        <w:tc>
          <w:tcPr>
            <w:tcW w:w="8494" w:type="dxa"/>
            <w:shd w:val="clear" w:color="auto" w:fill="F2F2F2" w:themeFill="background1" w:themeFillShade="F2"/>
          </w:tcPr>
          <w:p w14:paraId="581DBAD6" w14:textId="77777777" w:rsidR="00C77BD2" w:rsidRDefault="00C77BD2" w:rsidP="00FE582E">
            <w:pPr>
              <w:jc w:val="both"/>
              <w:rPr>
                <w:rFonts w:asciiTheme="minorHAnsi" w:hAnsiTheme="minorHAnsi" w:cs="Arial"/>
                <w:bCs/>
                <w:sz w:val="20"/>
                <w:szCs w:val="20"/>
              </w:rPr>
            </w:pPr>
          </w:p>
        </w:tc>
      </w:tr>
    </w:tbl>
    <w:p w14:paraId="0D7289A2" w14:textId="77777777" w:rsidR="00C77BD2" w:rsidRDefault="00C77BD2" w:rsidP="00C77BD2">
      <w:pPr>
        <w:jc w:val="both"/>
        <w:rPr>
          <w:rFonts w:ascii="Calibri" w:hAnsi="Calibri"/>
          <w:sz w:val="20"/>
          <w:szCs w:val="20"/>
        </w:rPr>
      </w:pPr>
    </w:p>
    <w:p w14:paraId="7E16B37C" w14:textId="77777777" w:rsidR="00DC69C7" w:rsidRPr="003355E3" w:rsidRDefault="00522FB0">
      <w:pPr>
        <w:pStyle w:val="BodyText21"/>
        <w:numPr>
          <w:ilvl w:val="0"/>
          <w:numId w:val="5"/>
        </w:numPr>
        <w:spacing w:line="276" w:lineRule="auto"/>
        <w:ind w:left="298" w:hangingChars="149" w:hanging="298"/>
        <w:rPr>
          <w:rFonts w:ascii="Calibri" w:hAnsi="Calibri" w:cs="Arial"/>
          <w:sz w:val="20"/>
          <w:szCs w:val="20"/>
        </w:rPr>
      </w:pPr>
      <w:r w:rsidRPr="003355E3">
        <w:rPr>
          <w:rFonts w:ascii="Calibri" w:hAnsi="Calibri" w:cs="Arial"/>
          <w:sz w:val="20"/>
          <w:szCs w:val="20"/>
        </w:rPr>
        <w:t>Anche ai fini dell’art. 23, comma 16, penultimo periodo, del D. Lgs. n. 50/2016 (così come modificato dal D. Lgs. 56/2017), si chiede di precisare, con riferimento alle risorse di norma impiegate, da parte della vostra azienda, nell’erogazione di servizi della medesima tipologia di quelli descritti nel presente documento:</w:t>
      </w:r>
    </w:p>
    <w:p w14:paraId="47F09F9F" w14:textId="77777777" w:rsidR="00DC69C7" w:rsidRPr="003355E3" w:rsidRDefault="00522FB0">
      <w:pPr>
        <w:pStyle w:val="Paragrafoelenco"/>
        <w:numPr>
          <w:ilvl w:val="0"/>
          <w:numId w:val="6"/>
        </w:numPr>
        <w:spacing w:line="276" w:lineRule="auto"/>
        <w:ind w:left="298" w:hangingChars="149" w:hanging="298"/>
        <w:jc w:val="both"/>
        <w:rPr>
          <w:rFonts w:ascii="Calibri" w:hAnsi="Calibri" w:cs="Arial"/>
          <w:sz w:val="20"/>
          <w:szCs w:val="20"/>
        </w:rPr>
      </w:pPr>
      <w:r w:rsidRPr="003355E3">
        <w:rPr>
          <w:rFonts w:ascii="Calibri" w:hAnsi="Calibri" w:cs="Arial"/>
          <w:sz w:val="20"/>
          <w:szCs w:val="20"/>
        </w:rPr>
        <w:t>il contratto collettivo applicato, specificando il relativo settore merceologico;</w:t>
      </w:r>
    </w:p>
    <w:p w14:paraId="75286F19" w14:textId="77777777" w:rsidR="00DC69C7" w:rsidRPr="003355E3" w:rsidRDefault="00522FB0">
      <w:pPr>
        <w:pStyle w:val="Paragrafoelenco"/>
        <w:numPr>
          <w:ilvl w:val="0"/>
          <w:numId w:val="6"/>
        </w:numPr>
        <w:spacing w:line="276" w:lineRule="auto"/>
        <w:ind w:left="298" w:hangingChars="149" w:hanging="298"/>
        <w:jc w:val="both"/>
        <w:rPr>
          <w:rFonts w:ascii="Calibri" w:hAnsi="Calibri" w:cs="Arial"/>
          <w:sz w:val="20"/>
          <w:szCs w:val="20"/>
        </w:rPr>
      </w:pPr>
      <w:r w:rsidRPr="003355E3">
        <w:rPr>
          <w:rFonts w:ascii="Calibri" w:hAnsi="Calibri" w:cs="Arial"/>
          <w:sz w:val="20"/>
          <w:szCs w:val="20"/>
        </w:rPr>
        <w:t>il/i livello/i di inquadramento;</w:t>
      </w:r>
    </w:p>
    <w:p w14:paraId="2B3B1835" w14:textId="77777777" w:rsidR="00DC69C7" w:rsidRPr="003355E3" w:rsidRDefault="00522FB0">
      <w:pPr>
        <w:pStyle w:val="Paragrafoelenco"/>
        <w:numPr>
          <w:ilvl w:val="0"/>
          <w:numId w:val="6"/>
        </w:numPr>
        <w:spacing w:line="276" w:lineRule="auto"/>
        <w:ind w:left="298" w:hangingChars="149" w:hanging="298"/>
        <w:jc w:val="both"/>
        <w:rPr>
          <w:rFonts w:ascii="Calibri" w:hAnsi="Calibri" w:cs="Arial"/>
          <w:sz w:val="20"/>
          <w:szCs w:val="20"/>
        </w:rPr>
      </w:pPr>
      <w:r w:rsidRPr="003355E3">
        <w:rPr>
          <w:rFonts w:ascii="Calibri" w:hAnsi="Calibri" w:cs="Arial"/>
          <w:sz w:val="20"/>
          <w:szCs w:val="20"/>
        </w:rPr>
        <w:t>l’anzianità di servizio;</w:t>
      </w:r>
    </w:p>
    <w:p w14:paraId="151C6221" w14:textId="77777777" w:rsidR="00DC69C7" w:rsidRPr="003355E3" w:rsidRDefault="00522FB0">
      <w:pPr>
        <w:pStyle w:val="Paragrafoelenco"/>
        <w:numPr>
          <w:ilvl w:val="0"/>
          <w:numId w:val="6"/>
        </w:numPr>
        <w:spacing w:after="120" w:line="276" w:lineRule="auto"/>
        <w:ind w:left="358" w:hanging="358"/>
        <w:jc w:val="both"/>
        <w:rPr>
          <w:rFonts w:ascii="Calibri" w:hAnsi="Calibri" w:cs="Arial"/>
          <w:sz w:val="20"/>
          <w:szCs w:val="20"/>
        </w:rPr>
      </w:pPr>
      <w:r w:rsidRPr="003355E3">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3E232D4" w14:textId="77777777">
        <w:trPr>
          <w:trHeight w:val="1106"/>
        </w:trPr>
        <w:tc>
          <w:tcPr>
            <w:tcW w:w="8494" w:type="dxa"/>
            <w:shd w:val="clear" w:color="auto" w:fill="F2F2F2" w:themeFill="background1" w:themeFillShade="F2"/>
          </w:tcPr>
          <w:p w14:paraId="7CED3A4A" w14:textId="77777777" w:rsidR="00DC69C7" w:rsidRDefault="00DC69C7">
            <w:pPr>
              <w:jc w:val="both"/>
              <w:rPr>
                <w:rFonts w:asciiTheme="minorHAnsi" w:hAnsiTheme="minorHAnsi" w:cs="Arial"/>
                <w:bCs/>
                <w:sz w:val="20"/>
                <w:szCs w:val="20"/>
              </w:rPr>
            </w:pPr>
          </w:p>
        </w:tc>
      </w:tr>
    </w:tbl>
    <w:p w14:paraId="07C4B1EE" w14:textId="77777777" w:rsidR="00DC69C7" w:rsidRDefault="00DC69C7">
      <w:pPr>
        <w:jc w:val="both"/>
        <w:rPr>
          <w:rFonts w:ascii="Calibri" w:hAnsi="Calibri"/>
          <w:sz w:val="20"/>
          <w:szCs w:val="20"/>
        </w:rPr>
      </w:pPr>
    </w:p>
    <w:p w14:paraId="1FEAB2CE"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p w14:paraId="09DA5D49" w14:textId="77777777" w:rsidR="00DC69C7" w:rsidRDefault="00DC69C7">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96AF794" w14:textId="77777777">
        <w:trPr>
          <w:trHeight w:val="1106"/>
        </w:trPr>
        <w:tc>
          <w:tcPr>
            <w:tcW w:w="8494" w:type="dxa"/>
            <w:shd w:val="clear" w:color="auto" w:fill="F2F2F2" w:themeFill="background1" w:themeFillShade="F2"/>
          </w:tcPr>
          <w:p w14:paraId="193961D5" w14:textId="77777777" w:rsidR="00DC69C7" w:rsidRDefault="00DC69C7">
            <w:pPr>
              <w:jc w:val="both"/>
              <w:rPr>
                <w:rFonts w:asciiTheme="minorHAnsi" w:hAnsiTheme="minorHAnsi" w:cs="Arial"/>
                <w:bCs/>
                <w:sz w:val="20"/>
                <w:szCs w:val="20"/>
              </w:rPr>
            </w:pPr>
          </w:p>
        </w:tc>
      </w:tr>
    </w:tbl>
    <w:p w14:paraId="27A8C262" w14:textId="77777777" w:rsidR="00DC69C7" w:rsidRDefault="00DC69C7">
      <w:pPr>
        <w:rPr>
          <w:rFonts w:ascii="Calibri" w:hAnsi="Calibri"/>
          <w:bCs/>
          <w:color w:val="0070C0"/>
          <w:sz w:val="20"/>
          <w:szCs w:val="20"/>
        </w:rPr>
      </w:pPr>
    </w:p>
    <w:p w14:paraId="1035E65F"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Descrivere le soluzioni e/o politiche aziendali adottate dall’Azienda per ridurre l’impatto ambientale in termini di dematerializzazione delle risorse (inclusa l’energia), riduzione o eliminazione delle sostanze pericolose, riduzione dei rifiuti in un’ottica di ciclo di vita.</w:t>
      </w:r>
    </w:p>
    <w:p w14:paraId="7ED389E6" w14:textId="77777777" w:rsidR="00DC69C7" w:rsidRDefault="00DC69C7">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C650635" w14:textId="77777777">
        <w:trPr>
          <w:trHeight w:val="1824"/>
        </w:trPr>
        <w:tc>
          <w:tcPr>
            <w:tcW w:w="8494" w:type="dxa"/>
            <w:shd w:val="clear" w:color="auto" w:fill="F2F2F2" w:themeFill="background1" w:themeFillShade="F2"/>
          </w:tcPr>
          <w:p w14:paraId="145E3006" w14:textId="77777777" w:rsidR="00DC69C7" w:rsidRDefault="00DC69C7">
            <w:pPr>
              <w:ind w:left="284"/>
              <w:jc w:val="both"/>
              <w:rPr>
                <w:rFonts w:asciiTheme="minorHAnsi" w:hAnsiTheme="minorHAnsi" w:cs="Arial"/>
                <w:bCs/>
                <w:sz w:val="20"/>
                <w:szCs w:val="20"/>
              </w:rPr>
            </w:pPr>
          </w:p>
        </w:tc>
      </w:tr>
    </w:tbl>
    <w:p w14:paraId="4AAC09A7" w14:textId="77777777" w:rsidR="000D1487" w:rsidRPr="000D1487" w:rsidRDefault="000D1487" w:rsidP="000D1487">
      <w:pPr>
        <w:spacing w:line="360" w:lineRule="auto"/>
        <w:ind w:left="-76"/>
        <w:jc w:val="both"/>
        <w:rPr>
          <w:rFonts w:ascii="Calibri" w:hAnsi="Calibri" w:cs="Calibri"/>
          <w:i/>
          <w:color w:val="000000"/>
          <w:sz w:val="20"/>
          <w:lang w:val="x-none"/>
        </w:rPr>
      </w:pPr>
    </w:p>
    <w:p w14:paraId="44FB22CF"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Ove possibile, descrivere le politiche dell’Azienda in termini di benefici per i propri dipendenti, per i clienti e la collettività, anche in termini di inclusione sociale</w:t>
      </w:r>
      <w:r w:rsidRPr="000D1487">
        <w:rPr>
          <w:rFonts w:ascii="Calibri" w:hAnsi="Calibri" w:cs="Arial"/>
          <w:sz w:val="20"/>
          <w:szCs w:val="20"/>
        </w:rPr>
        <w:t>.</w:t>
      </w:r>
    </w:p>
    <w:p w14:paraId="7173428D" w14:textId="77777777" w:rsidR="000D1487" w:rsidRPr="000D1487" w:rsidRDefault="000D1487" w:rsidP="000D1487">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FCD3FE9" w14:textId="77777777" w:rsidTr="00E068F1">
        <w:trPr>
          <w:trHeight w:val="991"/>
        </w:trPr>
        <w:tc>
          <w:tcPr>
            <w:tcW w:w="8494" w:type="dxa"/>
            <w:shd w:val="clear" w:color="auto" w:fill="F2F2F2" w:themeFill="background1" w:themeFillShade="F2"/>
          </w:tcPr>
          <w:p w14:paraId="6DCD15E1" w14:textId="77777777" w:rsidR="00DC69C7" w:rsidRDefault="00DC69C7">
            <w:pPr>
              <w:ind w:left="284"/>
              <w:jc w:val="both"/>
              <w:rPr>
                <w:rFonts w:asciiTheme="minorHAnsi" w:hAnsiTheme="minorHAnsi" w:cs="Arial"/>
                <w:bCs/>
                <w:sz w:val="20"/>
                <w:szCs w:val="20"/>
              </w:rPr>
            </w:pPr>
          </w:p>
        </w:tc>
      </w:tr>
    </w:tbl>
    <w:p w14:paraId="3019D27E" w14:textId="77777777" w:rsidR="00DC69C7" w:rsidRDefault="00DC69C7">
      <w:pPr>
        <w:jc w:val="both"/>
        <w:rPr>
          <w:rFonts w:ascii="Calibri" w:hAnsi="Calibri"/>
          <w:sz w:val="20"/>
          <w:szCs w:val="20"/>
        </w:rPr>
      </w:pPr>
    </w:p>
    <w:p w14:paraId="69AD078F" w14:textId="77777777" w:rsidR="0052543F" w:rsidRPr="00F613BA" w:rsidRDefault="0052543F" w:rsidP="0052543F">
      <w:pPr>
        <w:numPr>
          <w:ilvl w:val="0"/>
          <w:numId w:val="5"/>
        </w:numPr>
        <w:jc w:val="both"/>
        <w:rPr>
          <w:rFonts w:asciiTheme="minorHAnsi" w:hAnsiTheme="minorHAnsi" w:cs="Arial"/>
          <w:bCs/>
          <w:sz w:val="20"/>
          <w:szCs w:val="20"/>
        </w:rPr>
      </w:pPr>
      <w:r w:rsidRPr="00F613BA">
        <w:rPr>
          <w:rFonts w:ascii="Calibri" w:hAnsi="Calibri" w:cs="Calibri"/>
          <w:color w:val="000000"/>
          <w:sz w:val="20"/>
          <w:szCs w:val="20"/>
        </w:rPr>
        <w:t>L’accesso al portale della banca dati permette la personalizzazione della “home page” a seconda dei ruoli svolti dall’utente ?</w:t>
      </w:r>
    </w:p>
    <w:p w14:paraId="2E07E659" w14:textId="77777777" w:rsidR="0052543F" w:rsidRPr="0052543F" w:rsidRDefault="0052543F" w:rsidP="0052543F">
      <w:pPr>
        <w:pStyle w:val="Paragrafoelenco"/>
        <w:spacing w:line="276"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543F" w14:paraId="651824F0" w14:textId="77777777" w:rsidTr="00E068F1">
        <w:trPr>
          <w:trHeight w:val="1344"/>
        </w:trPr>
        <w:tc>
          <w:tcPr>
            <w:tcW w:w="8494" w:type="dxa"/>
            <w:shd w:val="clear" w:color="auto" w:fill="F2F2F2" w:themeFill="background1" w:themeFillShade="F2"/>
          </w:tcPr>
          <w:p w14:paraId="001C9F4E" w14:textId="77777777" w:rsidR="0052543F" w:rsidRDefault="0052543F" w:rsidP="00FE582E">
            <w:pPr>
              <w:ind w:left="284"/>
              <w:jc w:val="both"/>
              <w:rPr>
                <w:rFonts w:asciiTheme="minorHAnsi" w:hAnsiTheme="minorHAnsi" w:cs="Arial"/>
                <w:bCs/>
                <w:sz w:val="20"/>
                <w:szCs w:val="20"/>
              </w:rPr>
            </w:pPr>
          </w:p>
        </w:tc>
      </w:tr>
    </w:tbl>
    <w:p w14:paraId="6A4DEE77" w14:textId="77777777" w:rsidR="00C77BD2" w:rsidRDefault="00C77BD2">
      <w:pPr>
        <w:jc w:val="both"/>
        <w:rPr>
          <w:rFonts w:ascii="Calibri" w:hAnsi="Calibri"/>
          <w:sz w:val="20"/>
          <w:szCs w:val="20"/>
        </w:rPr>
      </w:pPr>
    </w:p>
    <w:p w14:paraId="4AC24D4E" w14:textId="7CCEEACE" w:rsidR="0052543F" w:rsidRPr="00F613BA" w:rsidRDefault="0052543F" w:rsidP="0052543F">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 xml:space="preserve">L’accesso al portale della banca dati permette l’accesso sia alle banche dati ICT ed HR </w:t>
      </w:r>
      <w:r w:rsidR="00074AEA" w:rsidRPr="00F613BA">
        <w:rPr>
          <w:rFonts w:ascii="Calibri" w:hAnsi="Calibri" w:cs="Calibri"/>
          <w:color w:val="000000"/>
          <w:sz w:val="20"/>
          <w:szCs w:val="20"/>
        </w:rPr>
        <w:t xml:space="preserve">contemporaneamente come unico punto di accesso </w:t>
      </w:r>
      <w:r w:rsidRPr="00F613BA">
        <w:rPr>
          <w:rFonts w:ascii="Calibri" w:hAnsi="Calibri" w:cs="Calibri"/>
          <w:color w:val="000000"/>
          <w:sz w:val="20"/>
          <w:szCs w:val="20"/>
        </w:rPr>
        <w:t>?</w:t>
      </w:r>
    </w:p>
    <w:p w14:paraId="1B1C8FC4" w14:textId="77777777" w:rsidR="0052543F" w:rsidRPr="000D1487" w:rsidRDefault="0052543F" w:rsidP="0052543F">
      <w:pPr>
        <w:spacing w:line="276" w:lineRule="auto"/>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543F" w14:paraId="49D841D6" w14:textId="77777777" w:rsidTr="00FF4965">
        <w:trPr>
          <w:trHeight w:val="1271"/>
        </w:trPr>
        <w:tc>
          <w:tcPr>
            <w:tcW w:w="8494" w:type="dxa"/>
            <w:shd w:val="clear" w:color="auto" w:fill="F2F2F2" w:themeFill="background1" w:themeFillShade="F2"/>
          </w:tcPr>
          <w:p w14:paraId="31C4114B" w14:textId="77777777" w:rsidR="0052543F" w:rsidRDefault="0052543F" w:rsidP="00FE582E">
            <w:pPr>
              <w:ind w:left="284"/>
              <w:jc w:val="both"/>
              <w:rPr>
                <w:rFonts w:asciiTheme="minorHAnsi" w:hAnsiTheme="minorHAnsi" w:cs="Arial"/>
                <w:bCs/>
                <w:sz w:val="20"/>
                <w:szCs w:val="20"/>
              </w:rPr>
            </w:pPr>
          </w:p>
        </w:tc>
      </w:tr>
    </w:tbl>
    <w:p w14:paraId="0862958C" w14:textId="77777777" w:rsidR="00C77BD2" w:rsidRDefault="00C77BD2">
      <w:pPr>
        <w:jc w:val="both"/>
        <w:rPr>
          <w:rFonts w:ascii="Calibri" w:hAnsi="Calibri"/>
          <w:sz w:val="20"/>
          <w:szCs w:val="20"/>
        </w:rPr>
      </w:pPr>
    </w:p>
    <w:p w14:paraId="65D8ECA0" w14:textId="20905163" w:rsidR="00AB2032" w:rsidRPr="00F613BA" w:rsidRDefault="00AB2032" w:rsidP="00AB2032">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 xml:space="preserve">Il motore di ricerca della banca integrato nel portale permette la personalizzazione di contenuti basati su comportamento di accesso e/o di lettura dei documenti ? </w:t>
      </w:r>
    </w:p>
    <w:p w14:paraId="6E2581DD" w14:textId="77777777" w:rsidR="00AB2032" w:rsidRPr="00F613BA" w:rsidRDefault="00AB2032" w:rsidP="00F613BA">
      <w:pPr>
        <w:numPr>
          <w:ilvl w:val="0"/>
          <w:numId w:val="5"/>
        </w:numPr>
        <w:jc w:val="both"/>
        <w:rPr>
          <w:rFonts w:ascii="Calibri" w:hAnsi="Calibri" w:cs="Calibr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2032" w:rsidRPr="00F613BA" w14:paraId="3B96D818" w14:textId="77777777" w:rsidTr="00E068F1">
        <w:trPr>
          <w:trHeight w:val="1036"/>
        </w:trPr>
        <w:tc>
          <w:tcPr>
            <w:tcW w:w="8494" w:type="dxa"/>
            <w:shd w:val="clear" w:color="auto" w:fill="F2F2F2" w:themeFill="background1" w:themeFillShade="F2"/>
          </w:tcPr>
          <w:p w14:paraId="2FF3EB4E" w14:textId="77777777" w:rsidR="00AB2032" w:rsidRPr="00F613BA" w:rsidRDefault="00AB2032" w:rsidP="00F613BA">
            <w:pPr>
              <w:numPr>
                <w:ilvl w:val="0"/>
                <w:numId w:val="5"/>
              </w:numPr>
              <w:jc w:val="both"/>
              <w:rPr>
                <w:rFonts w:ascii="Calibri" w:hAnsi="Calibri" w:cs="Calibri"/>
                <w:color w:val="000000"/>
                <w:sz w:val="20"/>
                <w:szCs w:val="20"/>
              </w:rPr>
            </w:pPr>
          </w:p>
        </w:tc>
      </w:tr>
    </w:tbl>
    <w:p w14:paraId="5B8EF444" w14:textId="369D673B" w:rsidR="00AB2032" w:rsidRPr="00F613BA" w:rsidRDefault="00AB2032" w:rsidP="00F613BA">
      <w:pPr>
        <w:numPr>
          <w:ilvl w:val="0"/>
          <w:numId w:val="5"/>
        </w:numPr>
        <w:jc w:val="both"/>
        <w:rPr>
          <w:rFonts w:ascii="Calibri" w:hAnsi="Calibri" w:cs="Calibri"/>
          <w:color w:val="000000"/>
          <w:sz w:val="20"/>
          <w:szCs w:val="20"/>
        </w:rPr>
      </w:pPr>
    </w:p>
    <w:p w14:paraId="4F8E24AA" w14:textId="6FC33489" w:rsidR="00AB2032" w:rsidRPr="00F613BA" w:rsidRDefault="00AB2032" w:rsidP="00FE582E">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 xml:space="preserve">Il motore di ricerca della banca </w:t>
      </w:r>
      <w:r w:rsidR="00BE51C5" w:rsidRPr="00F613BA">
        <w:rPr>
          <w:rFonts w:ascii="Calibri" w:hAnsi="Calibri" w:cs="Calibri"/>
          <w:color w:val="000000"/>
          <w:sz w:val="20"/>
          <w:szCs w:val="20"/>
        </w:rPr>
        <w:t xml:space="preserve">dati ICT, </w:t>
      </w:r>
      <w:r w:rsidRPr="00F613BA">
        <w:rPr>
          <w:rFonts w:ascii="Calibri" w:hAnsi="Calibri" w:cs="Calibri"/>
          <w:color w:val="000000"/>
          <w:sz w:val="20"/>
          <w:szCs w:val="20"/>
        </w:rPr>
        <w:t xml:space="preserve">integrato nel portale permette la personalizzazione di contenuti basati su comportamento di accesso e/o di lettura dei documenti ? </w:t>
      </w:r>
    </w:p>
    <w:p w14:paraId="51CE8640" w14:textId="77777777" w:rsidR="00BE51C5" w:rsidRPr="00F613BA" w:rsidRDefault="00BE51C5" w:rsidP="00F613BA">
      <w:pPr>
        <w:numPr>
          <w:ilvl w:val="0"/>
          <w:numId w:val="5"/>
        </w:numPr>
        <w:jc w:val="both"/>
        <w:rPr>
          <w:rFonts w:ascii="Calibri" w:hAnsi="Calibri" w:cs="Calibr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51C5" w14:paraId="77099064" w14:textId="77777777" w:rsidTr="00FF4965">
        <w:trPr>
          <w:trHeight w:val="1125"/>
        </w:trPr>
        <w:tc>
          <w:tcPr>
            <w:tcW w:w="8494" w:type="dxa"/>
            <w:shd w:val="clear" w:color="auto" w:fill="F2F2F2" w:themeFill="background1" w:themeFillShade="F2"/>
          </w:tcPr>
          <w:p w14:paraId="7B012C33" w14:textId="77777777" w:rsidR="00BE51C5" w:rsidRDefault="00BE51C5" w:rsidP="00FE582E">
            <w:pPr>
              <w:ind w:left="284"/>
              <w:jc w:val="both"/>
              <w:rPr>
                <w:rFonts w:asciiTheme="minorHAnsi" w:hAnsiTheme="minorHAnsi" w:cs="Arial"/>
                <w:bCs/>
                <w:sz w:val="20"/>
                <w:szCs w:val="20"/>
              </w:rPr>
            </w:pPr>
          </w:p>
        </w:tc>
      </w:tr>
    </w:tbl>
    <w:p w14:paraId="1758FBF5" w14:textId="3E801B08" w:rsidR="00BE51C5" w:rsidRDefault="00BE51C5">
      <w:pPr>
        <w:jc w:val="both"/>
        <w:rPr>
          <w:rFonts w:ascii="Calibri" w:hAnsi="Calibri"/>
          <w:sz w:val="20"/>
          <w:szCs w:val="20"/>
        </w:rPr>
      </w:pPr>
    </w:p>
    <w:p w14:paraId="7EAD0B9C" w14:textId="77777777" w:rsidR="00BE51C5" w:rsidRPr="00F613BA" w:rsidRDefault="00BE51C5" w:rsidP="00BE51C5">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 xml:space="preserve">Il motore di ricerca della banca dati ICT, integrato nel portale permette la personalizzazione di contenuti basati su comportamento di accesso e/o di lettura dei documenti ? </w:t>
      </w:r>
    </w:p>
    <w:p w14:paraId="5399C51E" w14:textId="77777777" w:rsidR="00BE51C5" w:rsidRPr="00F613BA" w:rsidRDefault="00BE51C5" w:rsidP="00F613BA">
      <w:pPr>
        <w:numPr>
          <w:ilvl w:val="0"/>
          <w:numId w:val="5"/>
        </w:numPr>
        <w:jc w:val="both"/>
        <w:rPr>
          <w:rFonts w:ascii="Calibri" w:hAnsi="Calibri" w:cs="Calibri"/>
          <w:color w:val="000000"/>
          <w:sz w:val="20"/>
          <w:szCs w:val="20"/>
        </w:rPr>
      </w:pPr>
    </w:p>
    <w:p w14:paraId="2B48D673" w14:textId="77777777" w:rsidR="00BE51C5" w:rsidRPr="00F613BA" w:rsidRDefault="00BE51C5" w:rsidP="00F613BA">
      <w:pPr>
        <w:numPr>
          <w:ilvl w:val="0"/>
          <w:numId w:val="5"/>
        </w:numPr>
        <w:jc w:val="both"/>
        <w:rPr>
          <w:rFonts w:ascii="Calibri" w:hAnsi="Calibri" w:cs="Calibr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51C5" w:rsidRPr="00F613BA" w14:paraId="575B71B5" w14:textId="77777777" w:rsidTr="00FF4965">
        <w:trPr>
          <w:trHeight w:val="1098"/>
        </w:trPr>
        <w:tc>
          <w:tcPr>
            <w:tcW w:w="8494" w:type="dxa"/>
            <w:shd w:val="clear" w:color="auto" w:fill="F2F2F2" w:themeFill="background1" w:themeFillShade="F2"/>
          </w:tcPr>
          <w:p w14:paraId="2457CCE0" w14:textId="77777777" w:rsidR="00BE51C5" w:rsidRPr="00F613BA" w:rsidRDefault="00BE51C5" w:rsidP="00F613BA">
            <w:pPr>
              <w:numPr>
                <w:ilvl w:val="0"/>
                <w:numId w:val="5"/>
              </w:numPr>
              <w:jc w:val="both"/>
              <w:rPr>
                <w:rFonts w:ascii="Calibri" w:hAnsi="Calibri" w:cs="Calibri"/>
                <w:color w:val="000000"/>
                <w:sz w:val="20"/>
                <w:szCs w:val="20"/>
              </w:rPr>
            </w:pPr>
          </w:p>
        </w:tc>
      </w:tr>
    </w:tbl>
    <w:p w14:paraId="6A1FD00D" w14:textId="77777777" w:rsidR="00BE51C5" w:rsidRPr="00F613BA" w:rsidRDefault="00BE51C5" w:rsidP="00F613BA">
      <w:pPr>
        <w:numPr>
          <w:ilvl w:val="0"/>
          <w:numId w:val="5"/>
        </w:numPr>
        <w:jc w:val="both"/>
        <w:rPr>
          <w:rFonts w:ascii="Calibri" w:hAnsi="Calibri" w:cs="Calibri"/>
          <w:color w:val="000000"/>
          <w:sz w:val="20"/>
          <w:szCs w:val="20"/>
        </w:rPr>
      </w:pPr>
    </w:p>
    <w:p w14:paraId="00B44F3A" w14:textId="001DE039" w:rsidR="00BE51C5" w:rsidRPr="00F613BA" w:rsidRDefault="00FB55CF" w:rsidP="00F613BA">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All’interno del</w:t>
      </w:r>
      <w:r w:rsidR="00BE51C5" w:rsidRPr="00F613BA">
        <w:rPr>
          <w:rFonts w:ascii="Calibri" w:hAnsi="Calibri" w:cs="Calibri"/>
          <w:color w:val="000000"/>
          <w:sz w:val="20"/>
          <w:szCs w:val="20"/>
        </w:rPr>
        <w:t xml:space="preserve"> portale esiste un motore di alerting, basato su iniziative e criteri personalizzabili, che avvisa l’utente sulla nuova ricerca disponibile ?</w:t>
      </w:r>
    </w:p>
    <w:p w14:paraId="2309BBAC" w14:textId="77777777" w:rsidR="00BE51C5" w:rsidRPr="00F613BA" w:rsidRDefault="00BE51C5" w:rsidP="00F613BA">
      <w:pPr>
        <w:numPr>
          <w:ilvl w:val="0"/>
          <w:numId w:val="5"/>
        </w:numPr>
        <w:jc w:val="both"/>
        <w:rPr>
          <w:rFonts w:ascii="Calibri" w:hAnsi="Calibri" w:cs="Calibr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51C5" w:rsidRPr="00F613BA" w14:paraId="22362D98" w14:textId="77777777" w:rsidTr="00E068F1">
        <w:trPr>
          <w:trHeight w:val="1088"/>
        </w:trPr>
        <w:tc>
          <w:tcPr>
            <w:tcW w:w="8494" w:type="dxa"/>
            <w:shd w:val="clear" w:color="auto" w:fill="F2F2F2" w:themeFill="background1" w:themeFillShade="F2"/>
          </w:tcPr>
          <w:p w14:paraId="664FE5F7" w14:textId="77777777" w:rsidR="00BE51C5" w:rsidRPr="00F613BA" w:rsidRDefault="00BE51C5" w:rsidP="00F613BA">
            <w:pPr>
              <w:numPr>
                <w:ilvl w:val="0"/>
                <w:numId w:val="5"/>
              </w:numPr>
              <w:jc w:val="both"/>
              <w:rPr>
                <w:rFonts w:ascii="Calibri" w:hAnsi="Calibri" w:cs="Calibri"/>
                <w:color w:val="000000"/>
                <w:sz w:val="20"/>
                <w:szCs w:val="20"/>
              </w:rPr>
            </w:pPr>
          </w:p>
        </w:tc>
      </w:tr>
    </w:tbl>
    <w:p w14:paraId="66FF5953" w14:textId="77777777" w:rsidR="00BE51C5" w:rsidRPr="00F613BA" w:rsidRDefault="00BE51C5" w:rsidP="00F613BA">
      <w:pPr>
        <w:numPr>
          <w:ilvl w:val="0"/>
          <w:numId w:val="5"/>
        </w:numPr>
        <w:jc w:val="both"/>
        <w:rPr>
          <w:rFonts w:ascii="Calibri" w:hAnsi="Calibri" w:cs="Calibri"/>
          <w:color w:val="000000"/>
          <w:sz w:val="20"/>
          <w:szCs w:val="20"/>
        </w:rPr>
      </w:pPr>
    </w:p>
    <w:p w14:paraId="4E5BC8CE" w14:textId="39BBF890" w:rsidR="00BE51C5" w:rsidRPr="00F613BA" w:rsidRDefault="006A755A" w:rsidP="00F613BA">
      <w:pPr>
        <w:numPr>
          <w:ilvl w:val="0"/>
          <w:numId w:val="5"/>
        </w:numPr>
        <w:jc w:val="both"/>
        <w:rPr>
          <w:rFonts w:ascii="Calibri" w:hAnsi="Calibri" w:cs="Calibri"/>
          <w:color w:val="000000"/>
          <w:sz w:val="20"/>
          <w:szCs w:val="20"/>
        </w:rPr>
      </w:pPr>
      <w:r w:rsidRPr="00F613BA">
        <w:rPr>
          <w:rFonts w:ascii="Calibri" w:hAnsi="Calibri" w:cs="Calibri"/>
          <w:color w:val="000000"/>
          <w:sz w:val="20"/>
          <w:szCs w:val="20"/>
        </w:rPr>
        <w:t>E’ disponibile negli “App store” (sia Play Store che Apple Store) una applicazione “mobile” con funzioni di ascolto (text-to-speech), webinar video integrati, annotazione singole ricerche, libreria personalizzabile, log attività e planning attività (es. webinar, eventi, etc.) ?</w:t>
      </w:r>
    </w:p>
    <w:p w14:paraId="3F0980D7" w14:textId="77777777" w:rsidR="006A755A" w:rsidRPr="00BE51C5" w:rsidRDefault="006A755A" w:rsidP="006A755A">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755A" w14:paraId="2EC94E8B" w14:textId="77777777" w:rsidTr="00E068F1">
        <w:trPr>
          <w:trHeight w:val="940"/>
        </w:trPr>
        <w:tc>
          <w:tcPr>
            <w:tcW w:w="8494" w:type="dxa"/>
            <w:shd w:val="clear" w:color="auto" w:fill="F2F2F2" w:themeFill="background1" w:themeFillShade="F2"/>
          </w:tcPr>
          <w:p w14:paraId="6AA09D8E" w14:textId="77777777" w:rsidR="006A755A" w:rsidRDefault="006A755A" w:rsidP="00FE582E">
            <w:pPr>
              <w:ind w:left="284"/>
              <w:jc w:val="both"/>
              <w:rPr>
                <w:rFonts w:asciiTheme="minorHAnsi" w:hAnsiTheme="minorHAnsi" w:cs="Arial"/>
                <w:bCs/>
                <w:sz w:val="20"/>
                <w:szCs w:val="20"/>
              </w:rPr>
            </w:pPr>
          </w:p>
        </w:tc>
      </w:tr>
    </w:tbl>
    <w:p w14:paraId="49C98DEE" w14:textId="77777777" w:rsidR="00BE51C5" w:rsidRDefault="00BE51C5">
      <w:pPr>
        <w:spacing w:line="276" w:lineRule="auto"/>
        <w:jc w:val="both"/>
        <w:rPr>
          <w:rFonts w:asciiTheme="minorHAnsi" w:hAnsiTheme="minorHAnsi" w:cs="Arial"/>
          <w:bCs/>
          <w:sz w:val="20"/>
          <w:szCs w:val="20"/>
        </w:rPr>
      </w:pPr>
    </w:p>
    <w:p w14:paraId="035C4D30" w14:textId="55CDA31F" w:rsidR="001842CF" w:rsidRDefault="001842CF" w:rsidP="001842CF">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Nella banca dati ICT on line </w:t>
      </w:r>
      <w:r w:rsidR="003341E7">
        <w:rPr>
          <w:rFonts w:asciiTheme="minorHAnsi" w:hAnsiTheme="minorHAnsi" w:cs="Arial"/>
          <w:bCs/>
          <w:sz w:val="20"/>
          <w:szCs w:val="20"/>
        </w:rPr>
        <w:t xml:space="preserve">sono riscontrabili i seguenti ambiti specifici di ricerca </w:t>
      </w:r>
      <w:r>
        <w:rPr>
          <w:rFonts w:asciiTheme="minorHAnsi" w:hAnsiTheme="minorHAnsi" w:cs="Arial"/>
          <w:bCs/>
          <w:sz w:val="20"/>
          <w:szCs w:val="20"/>
        </w:rPr>
        <w:t xml:space="preserve">? </w:t>
      </w:r>
      <w:r w:rsidRPr="005237B8">
        <w:rPr>
          <w:rFonts w:asciiTheme="minorHAnsi" w:hAnsiTheme="minorHAnsi" w:cs="Arial"/>
          <w:bCs/>
          <w:sz w:val="20"/>
          <w:szCs w:val="20"/>
        </w:rPr>
        <w:t xml:space="preserve">Qualora </w:t>
      </w:r>
      <w:r w:rsidR="003341E7">
        <w:rPr>
          <w:rFonts w:asciiTheme="minorHAnsi" w:hAnsiTheme="minorHAnsi" w:cs="Arial"/>
          <w:bCs/>
          <w:sz w:val="20"/>
          <w:szCs w:val="20"/>
        </w:rPr>
        <w:t>la ricerca indicata non sia</w:t>
      </w:r>
      <w:r>
        <w:rPr>
          <w:rFonts w:asciiTheme="minorHAnsi" w:hAnsiTheme="minorHAnsi" w:cs="Arial"/>
          <w:bCs/>
          <w:sz w:val="20"/>
          <w:szCs w:val="20"/>
        </w:rPr>
        <w:t xml:space="preserve"> </w:t>
      </w:r>
      <w:r w:rsidR="003341E7">
        <w:rPr>
          <w:rFonts w:asciiTheme="minorHAnsi" w:hAnsiTheme="minorHAnsi" w:cs="Arial"/>
          <w:bCs/>
          <w:sz w:val="20"/>
          <w:szCs w:val="20"/>
        </w:rPr>
        <w:t>disponibile</w:t>
      </w:r>
      <w:r>
        <w:rPr>
          <w:rFonts w:asciiTheme="minorHAnsi" w:hAnsiTheme="minorHAnsi" w:cs="Arial"/>
          <w:bCs/>
          <w:sz w:val="20"/>
          <w:szCs w:val="20"/>
        </w:rPr>
        <w:t xml:space="preserve">, </w:t>
      </w:r>
      <w:r w:rsidRPr="005237B8">
        <w:rPr>
          <w:rFonts w:asciiTheme="minorHAnsi" w:hAnsiTheme="minorHAnsi" w:cs="Arial"/>
          <w:bCs/>
          <w:sz w:val="20"/>
          <w:szCs w:val="20"/>
        </w:rPr>
        <w:t>indicare “N.D.”</w:t>
      </w:r>
      <w:r>
        <w:rPr>
          <w:rFonts w:asciiTheme="minorHAnsi" w:hAnsiTheme="minorHAnsi" w:cs="Arial"/>
          <w:bCs/>
          <w:sz w:val="20"/>
          <w:szCs w:val="20"/>
        </w:rPr>
        <w:t>?</w:t>
      </w:r>
    </w:p>
    <w:p w14:paraId="0709D78C" w14:textId="5AFEDECE" w:rsidR="001842CF" w:rsidRDefault="001842CF" w:rsidP="001842CF">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36"/>
        <w:gridCol w:w="709"/>
      </w:tblGrid>
      <w:tr w:rsidR="001842CF" w:rsidRPr="00F55F63" w14:paraId="04D3B188" w14:textId="77777777" w:rsidTr="00FF4965">
        <w:tc>
          <w:tcPr>
            <w:tcW w:w="1123" w:type="dxa"/>
            <w:tcBorders>
              <w:top w:val="nil"/>
              <w:left w:val="nil"/>
              <w:bottom w:val="single" w:sz="4" w:space="0" w:color="auto"/>
              <w:right w:val="nil"/>
            </w:tcBorders>
            <w:shd w:val="clear" w:color="auto" w:fill="auto"/>
            <w:vAlign w:val="center"/>
          </w:tcPr>
          <w:p w14:paraId="0DF2B3C1" w14:textId="77777777" w:rsidR="001842CF" w:rsidRPr="00F06EAE" w:rsidRDefault="001842CF" w:rsidP="00FE582E">
            <w:pPr>
              <w:spacing w:line="360" w:lineRule="auto"/>
              <w:rPr>
                <w:rFonts w:asciiTheme="minorHAnsi" w:hAnsiTheme="minorHAnsi" w:cs="Arial"/>
                <w:b/>
                <w:sz w:val="20"/>
                <w:szCs w:val="20"/>
              </w:rPr>
            </w:pPr>
          </w:p>
        </w:tc>
        <w:tc>
          <w:tcPr>
            <w:tcW w:w="5636" w:type="dxa"/>
            <w:tcBorders>
              <w:top w:val="nil"/>
              <w:left w:val="nil"/>
              <w:bottom w:val="single" w:sz="4" w:space="0" w:color="auto"/>
              <w:right w:val="single" w:sz="4" w:space="0" w:color="auto"/>
            </w:tcBorders>
            <w:shd w:val="clear" w:color="auto" w:fill="auto"/>
            <w:vAlign w:val="center"/>
          </w:tcPr>
          <w:p w14:paraId="32E6A5D7" w14:textId="77777777" w:rsidR="001842CF" w:rsidRPr="00F55F63" w:rsidRDefault="001842CF" w:rsidP="00FE582E">
            <w:pPr>
              <w:jc w:val="both"/>
              <w:rPr>
                <w:rFonts w:asciiTheme="minorHAnsi" w:hAnsiTheme="minorHAnsi" w:cs="Arial"/>
                <w:sz w:val="20"/>
                <w:szCs w:val="20"/>
              </w:rPr>
            </w:pPr>
          </w:p>
        </w:tc>
        <w:tc>
          <w:tcPr>
            <w:tcW w:w="709" w:type="dxa"/>
            <w:tcBorders>
              <w:left w:val="single" w:sz="4" w:space="0" w:color="auto"/>
            </w:tcBorders>
            <w:shd w:val="clear" w:color="auto" w:fill="auto"/>
          </w:tcPr>
          <w:p w14:paraId="557501D2" w14:textId="77777777" w:rsidR="001842CF" w:rsidRPr="004A6BE5" w:rsidRDefault="001842CF" w:rsidP="00FE582E">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F85D74" w:rsidRPr="00F55F63" w14:paraId="1D577B73" w14:textId="77777777" w:rsidTr="00FF4965">
        <w:tc>
          <w:tcPr>
            <w:tcW w:w="1123" w:type="dxa"/>
            <w:vMerge w:val="restart"/>
            <w:tcBorders>
              <w:top w:val="single" w:sz="4" w:space="0" w:color="auto"/>
            </w:tcBorders>
            <w:shd w:val="clear" w:color="auto" w:fill="auto"/>
            <w:vAlign w:val="center"/>
          </w:tcPr>
          <w:p w14:paraId="484E5286" w14:textId="77777777" w:rsidR="00F85D74" w:rsidRPr="00F55F63" w:rsidRDefault="00F85D74" w:rsidP="00FE582E">
            <w:pPr>
              <w:spacing w:line="360" w:lineRule="auto"/>
              <w:rPr>
                <w:rFonts w:asciiTheme="minorHAnsi" w:hAnsiTheme="minorHAnsi" w:cs="Arial"/>
                <w:b/>
                <w:sz w:val="20"/>
                <w:szCs w:val="20"/>
                <w:lang w:val="en-US"/>
              </w:rPr>
            </w:pPr>
            <w:r w:rsidRPr="00F55F63">
              <w:rPr>
                <w:rFonts w:asciiTheme="minorHAnsi" w:hAnsiTheme="minorHAnsi" w:cs="Arial"/>
                <w:b/>
                <w:sz w:val="20"/>
                <w:szCs w:val="20"/>
                <w:lang w:val="en-US"/>
              </w:rPr>
              <w:t>Ricerca on line</w:t>
            </w:r>
          </w:p>
        </w:tc>
        <w:tc>
          <w:tcPr>
            <w:tcW w:w="5636" w:type="dxa"/>
            <w:tcBorders>
              <w:top w:val="single" w:sz="4" w:space="0" w:color="auto"/>
            </w:tcBorders>
            <w:shd w:val="clear" w:color="auto" w:fill="auto"/>
            <w:vAlign w:val="center"/>
          </w:tcPr>
          <w:p w14:paraId="7FC0A748" w14:textId="1BA0F35A" w:rsidR="00F85D74" w:rsidRPr="00F55F63" w:rsidRDefault="00F85D74" w:rsidP="00FE582E">
            <w:pPr>
              <w:jc w:val="both"/>
              <w:rPr>
                <w:rFonts w:asciiTheme="minorHAnsi" w:hAnsiTheme="minorHAnsi" w:cs="Arial"/>
                <w:bCs/>
                <w:i/>
                <w:sz w:val="20"/>
                <w:szCs w:val="20"/>
              </w:rPr>
            </w:pPr>
            <w:r w:rsidRPr="001842CF">
              <w:rPr>
                <w:rFonts w:asciiTheme="minorHAnsi" w:hAnsiTheme="minorHAnsi" w:cs="Arial"/>
                <w:sz w:val="20"/>
                <w:szCs w:val="20"/>
              </w:rPr>
              <w:t>Ricerca di comparazione di prodotti HW, SW e Servizi articolata su più dimensioni di analisi funzionali e non funzionali e diversi casi d’uso sia predefiniti che personalizzabili;</w:t>
            </w:r>
            <w:r>
              <w:rPr>
                <w:rFonts w:asciiTheme="minorHAnsi" w:hAnsiTheme="minorHAnsi" w:cs="Arial"/>
                <w:sz w:val="20"/>
                <w:szCs w:val="20"/>
              </w:rPr>
              <w:t xml:space="preserve"> </w:t>
            </w:r>
            <w:r w:rsidRPr="001842CF">
              <w:rPr>
                <w:rFonts w:asciiTheme="minorHAnsi" w:hAnsiTheme="minorHAnsi" w:cs="Arial"/>
                <w:sz w:val="20"/>
                <w:szCs w:val="20"/>
              </w:rPr>
              <w:t>copertura di almeno 100 mercati hw,</w:t>
            </w:r>
            <w:r>
              <w:rPr>
                <w:rFonts w:asciiTheme="minorHAnsi" w:hAnsiTheme="minorHAnsi" w:cs="Arial"/>
                <w:sz w:val="20"/>
                <w:szCs w:val="20"/>
              </w:rPr>
              <w:t xml:space="preserve"> </w:t>
            </w:r>
            <w:r w:rsidRPr="001842CF">
              <w:rPr>
                <w:rFonts w:asciiTheme="minorHAnsi" w:hAnsiTheme="minorHAnsi" w:cs="Arial"/>
                <w:sz w:val="20"/>
                <w:szCs w:val="20"/>
              </w:rPr>
              <w:t>sw e servizi.</w:t>
            </w:r>
          </w:p>
        </w:tc>
        <w:tc>
          <w:tcPr>
            <w:tcW w:w="709" w:type="dxa"/>
            <w:shd w:val="clear" w:color="auto" w:fill="auto"/>
          </w:tcPr>
          <w:p w14:paraId="1CDE75BC"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000579B7" w14:textId="77777777" w:rsidTr="00FF4965">
        <w:tc>
          <w:tcPr>
            <w:tcW w:w="1123" w:type="dxa"/>
            <w:vMerge/>
            <w:shd w:val="clear" w:color="auto" w:fill="auto"/>
            <w:vAlign w:val="center"/>
          </w:tcPr>
          <w:p w14:paraId="4027AF90" w14:textId="77777777" w:rsidR="00F85D74" w:rsidRPr="00CB5A51" w:rsidRDefault="00F85D74" w:rsidP="00FE582E">
            <w:pPr>
              <w:spacing w:line="360" w:lineRule="auto"/>
              <w:rPr>
                <w:rFonts w:asciiTheme="minorHAnsi" w:hAnsiTheme="minorHAnsi" w:cs="Arial"/>
                <w:b/>
                <w:sz w:val="20"/>
                <w:szCs w:val="20"/>
              </w:rPr>
            </w:pPr>
          </w:p>
        </w:tc>
        <w:tc>
          <w:tcPr>
            <w:tcW w:w="5636" w:type="dxa"/>
            <w:tcBorders>
              <w:top w:val="single" w:sz="4" w:space="0" w:color="auto"/>
            </w:tcBorders>
            <w:shd w:val="clear" w:color="auto" w:fill="auto"/>
            <w:vAlign w:val="center"/>
          </w:tcPr>
          <w:p w14:paraId="4D86F769" w14:textId="18D99209" w:rsidR="00F85D74" w:rsidRPr="00F55F63" w:rsidRDefault="00F85D74" w:rsidP="00FE582E">
            <w:pPr>
              <w:jc w:val="both"/>
              <w:rPr>
                <w:rFonts w:asciiTheme="minorHAnsi" w:hAnsiTheme="minorHAnsi" w:cs="Arial"/>
                <w:sz w:val="20"/>
                <w:szCs w:val="20"/>
              </w:rPr>
            </w:pPr>
            <w:r w:rsidRPr="001842CF">
              <w:rPr>
                <w:rFonts w:asciiTheme="minorHAnsi" w:hAnsiTheme="minorHAnsi" w:cs="Arial"/>
                <w:sz w:val="20"/>
                <w:szCs w:val="20"/>
              </w:rPr>
              <w:t>Accesso alla ricerca on line per la revisione di clausole contrattuali inerenti beni/servizi ICT</w:t>
            </w:r>
          </w:p>
        </w:tc>
        <w:tc>
          <w:tcPr>
            <w:tcW w:w="709" w:type="dxa"/>
            <w:shd w:val="clear" w:color="auto" w:fill="auto"/>
          </w:tcPr>
          <w:p w14:paraId="4DCE57A7"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1DBF090D" w14:textId="77777777" w:rsidTr="00FF4965">
        <w:tc>
          <w:tcPr>
            <w:tcW w:w="1123" w:type="dxa"/>
            <w:vMerge/>
            <w:shd w:val="clear" w:color="auto" w:fill="auto"/>
          </w:tcPr>
          <w:p w14:paraId="6D1AFF00"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3FB59292" w14:textId="1D8E5BC0" w:rsidR="00F85D74" w:rsidRPr="00F55F63" w:rsidRDefault="00F85D74" w:rsidP="00FE582E">
            <w:pPr>
              <w:jc w:val="both"/>
              <w:rPr>
                <w:rFonts w:asciiTheme="minorHAnsi" w:hAnsiTheme="minorHAnsi" w:cs="Arial"/>
                <w:sz w:val="20"/>
                <w:szCs w:val="20"/>
              </w:rPr>
            </w:pPr>
            <w:r w:rsidRPr="001842CF">
              <w:rPr>
                <w:rFonts w:asciiTheme="minorHAnsi" w:hAnsiTheme="minorHAnsi" w:cs="Arial"/>
                <w:sz w:val="20"/>
                <w:szCs w:val="20"/>
              </w:rPr>
              <w:t>Ricerca interattiva per analisi dell’evoluzione tecnologica su tutti gli ambiti ICT, che indichi la maturità della tecnologia specifica e la relativa possibile adozione.</w:t>
            </w:r>
          </w:p>
        </w:tc>
        <w:tc>
          <w:tcPr>
            <w:tcW w:w="709" w:type="dxa"/>
            <w:shd w:val="clear" w:color="auto" w:fill="auto"/>
          </w:tcPr>
          <w:p w14:paraId="33C4BE23"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4915EFBA" w14:textId="77777777" w:rsidTr="00FF4965">
        <w:tc>
          <w:tcPr>
            <w:tcW w:w="1123" w:type="dxa"/>
            <w:vMerge/>
            <w:shd w:val="clear" w:color="auto" w:fill="auto"/>
          </w:tcPr>
          <w:p w14:paraId="44CB0460"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3B73A9BF" w14:textId="1330FE2E" w:rsidR="00F85D74" w:rsidRPr="00F55F63" w:rsidRDefault="00F85D74" w:rsidP="00FE582E">
            <w:pPr>
              <w:jc w:val="both"/>
              <w:rPr>
                <w:rFonts w:asciiTheme="minorHAnsi" w:hAnsiTheme="minorHAnsi" w:cs="Arial"/>
                <w:bCs/>
                <w:i/>
                <w:sz w:val="20"/>
                <w:szCs w:val="20"/>
              </w:rPr>
            </w:pPr>
            <w:r w:rsidRPr="001842CF">
              <w:rPr>
                <w:rFonts w:asciiTheme="minorHAnsi" w:hAnsiTheme="minorHAnsi" w:cs="Arial"/>
                <w:sz w:val="20"/>
                <w:szCs w:val="20"/>
              </w:rPr>
              <w:t>Tabelle di confronto Mainframe performance standard Gartner MIPS vs. IBM MSU</w:t>
            </w:r>
          </w:p>
        </w:tc>
        <w:tc>
          <w:tcPr>
            <w:tcW w:w="709" w:type="dxa"/>
            <w:shd w:val="clear" w:color="auto" w:fill="auto"/>
          </w:tcPr>
          <w:p w14:paraId="5F43DA2E"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663D2BC0" w14:textId="77777777" w:rsidTr="00FF4965">
        <w:tc>
          <w:tcPr>
            <w:tcW w:w="1123" w:type="dxa"/>
            <w:vMerge/>
            <w:shd w:val="clear" w:color="auto" w:fill="auto"/>
          </w:tcPr>
          <w:p w14:paraId="699A8451"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67D2F7C8" w14:textId="7070519E" w:rsidR="00F85D74" w:rsidRPr="00F55F63" w:rsidRDefault="00F85D74" w:rsidP="005A1A82">
            <w:pPr>
              <w:autoSpaceDE w:val="0"/>
              <w:autoSpaceDN w:val="0"/>
              <w:adjustRightInd w:val="0"/>
              <w:snapToGrid w:val="0"/>
              <w:rPr>
                <w:rFonts w:asciiTheme="minorHAnsi" w:hAnsiTheme="minorHAnsi" w:cs="Arial"/>
                <w:sz w:val="20"/>
                <w:szCs w:val="20"/>
              </w:rPr>
            </w:pPr>
            <w:r>
              <w:rPr>
                <w:rFonts w:asciiTheme="minorHAnsi" w:hAnsiTheme="minorHAnsi" w:cs="Arial"/>
                <w:sz w:val="20"/>
                <w:szCs w:val="20"/>
              </w:rPr>
              <w:t>Disponibilità di c</w:t>
            </w:r>
            <w:r w:rsidRPr="005A1A82">
              <w:rPr>
                <w:rFonts w:asciiTheme="minorHAnsi" w:hAnsiTheme="minorHAnsi" w:cs="Arial"/>
                <w:sz w:val="20"/>
                <w:szCs w:val="20"/>
              </w:rPr>
              <w:t>asi di studio di organizzazioni reali</w:t>
            </w:r>
            <w:r>
              <w:rPr>
                <w:rFonts w:asciiTheme="minorHAnsi" w:hAnsiTheme="minorHAnsi" w:cs="Arial"/>
                <w:sz w:val="20"/>
                <w:szCs w:val="20"/>
              </w:rPr>
              <w:t xml:space="preserve"> </w:t>
            </w:r>
          </w:p>
        </w:tc>
        <w:tc>
          <w:tcPr>
            <w:tcW w:w="709" w:type="dxa"/>
            <w:shd w:val="clear" w:color="auto" w:fill="auto"/>
          </w:tcPr>
          <w:p w14:paraId="2378A420"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61784B01" w14:textId="77777777" w:rsidTr="00FF4965">
        <w:tc>
          <w:tcPr>
            <w:tcW w:w="1123" w:type="dxa"/>
            <w:vMerge/>
            <w:shd w:val="clear" w:color="auto" w:fill="auto"/>
          </w:tcPr>
          <w:p w14:paraId="5380AF22"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0ACB898A" w14:textId="21E68B39" w:rsidR="00F85D74" w:rsidRDefault="00F85D74" w:rsidP="00FB55CF">
            <w:pPr>
              <w:autoSpaceDE w:val="0"/>
              <w:autoSpaceDN w:val="0"/>
              <w:adjustRightInd w:val="0"/>
              <w:snapToGrid w:val="0"/>
              <w:rPr>
                <w:rFonts w:asciiTheme="minorHAnsi" w:hAnsiTheme="minorHAnsi" w:cs="Arial"/>
                <w:sz w:val="20"/>
                <w:szCs w:val="20"/>
              </w:rPr>
            </w:pPr>
            <w:r w:rsidRPr="00FB55CF">
              <w:rPr>
                <w:rFonts w:asciiTheme="minorHAnsi" w:hAnsiTheme="minorHAnsi" w:cs="Arial"/>
                <w:sz w:val="20"/>
                <w:szCs w:val="20"/>
              </w:rPr>
              <w:t>Ricerca e casi di studio HR</w:t>
            </w:r>
          </w:p>
        </w:tc>
        <w:tc>
          <w:tcPr>
            <w:tcW w:w="709" w:type="dxa"/>
            <w:shd w:val="clear" w:color="auto" w:fill="auto"/>
          </w:tcPr>
          <w:p w14:paraId="3D6832F9"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0FD52554" w14:textId="77777777" w:rsidTr="00FF4965">
        <w:tc>
          <w:tcPr>
            <w:tcW w:w="1123" w:type="dxa"/>
            <w:vMerge/>
            <w:shd w:val="clear" w:color="auto" w:fill="auto"/>
          </w:tcPr>
          <w:p w14:paraId="53C45391"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2DC6D451" w14:textId="1DAAE980" w:rsidR="00F85D74" w:rsidRPr="00F55F63" w:rsidRDefault="00F85D74" w:rsidP="005A1A82">
            <w:pPr>
              <w:jc w:val="both"/>
              <w:rPr>
                <w:rFonts w:asciiTheme="minorHAnsi" w:hAnsiTheme="minorHAnsi" w:cs="Arial"/>
                <w:sz w:val="20"/>
                <w:szCs w:val="20"/>
              </w:rPr>
            </w:pPr>
            <w:r>
              <w:rPr>
                <w:rFonts w:asciiTheme="minorHAnsi" w:hAnsiTheme="minorHAnsi" w:cs="Arial"/>
                <w:sz w:val="20"/>
                <w:szCs w:val="20"/>
              </w:rPr>
              <w:t xml:space="preserve">Disponibilità di </w:t>
            </w:r>
            <w:r w:rsidRPr="005A1A82">
              <w:rPr>
                <w:rFonts w:asciiTheme="minorHAnsi" w:hAnsiTheme="minorHAnsi" w:cs="Arial"/>
                <w:sz w:val="20"/>
                <w:szCs w:val="20"/>
              </w:rPr>
              <w:t xml:space="preserve">Template per </w:t>
            </w:r>
            <w:r>
              <w:rPr>
                <w:rFonts w:asciiTheme="minorHAnsi" w:hAnsiTheme="minorHAnsi" w:cs="Arial"/>
                <w:sz w:val="20"/>
                <w:szCs w:val="20"/>
              </w:rPr>
              <w:t>la redazione di richieste di offerta tecnica (</w:t>
            </w:r>
            <w:r w:rsidRPr="005A1A82">
              <w:rPr>
                <w:rFonts w:asciiTheme="minorHAnsi" w:hAnsiTheme="minorHAnsi" w:cs="Arial"/>
                <w:sz w:val="20"/>
                <w:szCs w:val="20"/>
              </w:rPr>
              <w:t>RFI/RFP</w:t>
            </w:r>
            <w:r>
              <w:rPr>
                <w:rFonts w:asciiTheme="minorHAnsi" w:hAnsiTheme="minorHAnsi" w:cs="Arial"/>
                <w:sz w:val="20"/>
                <w:szCs w:val="20"/>
              </w:rPr>
              <w:t>)</w:t>
            </w:r>
          </w:p>
        </w:tc>
        <w:tc>
          <w:tcPr>
            <w:tcW w:w="709" w:type="dxa"/>
            <w:shd w:val="clear" w:color="auto" w:fill="auto"/>
          </w:tcPr>
          <w:p w14:paraId="3FCBFDD2"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5C04CB00" w14:textId="77777777" w:rsidTr="00FF4965">
        <w:tc>
          <w:tcPr>
            <w:tcW w:w="1123" w:type="dxa"/>
            <w:vMerge/>
            <w:shd w:val="clear" w:color="auto" w:fill="auto"/>
          </w:tcPr>
          <w:p w14:paraId="7F05B84A"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197BF89B" w14:textId="048E9411" w:rsidR="00F85D74" w:rsidRDefault="00F85D74" w:rsidP="00FE582E">
            <w:pPr>
              <w:jc w:val="both"/>
              <w:rPr>
                <w:rFonts w:asciiTheme="minorHAnsi" w:hAnsiTheme="minorHAnsi" w:cs="Arial"/>
                <w:sz w:val="20"/>
                <w:szCs w:val="20"/>
              </w:rPr>
            </w:pPr>
            <w:r w:rsidRPr="005A1A82">
              <w:rPr>
                <w:rFonts w:asciiTheme="minorHAnsi" w:hAnsiTheme="minorHAnsi" w:cs="Arial"/>
                <w:sz w:val="20"/>
                <w:szCs w:val="20"/>
              </w:rPr>
              <w:t>Guide/Toolkit Progettuali (</w:t>
            </w:r>
            <w:r>
              <w:rPr>
                <w:rFonts w:asciiTheme="minorHAnsi" w:hAnsiTheme="minorHAnsi" w:cs="Arial"/>
                <w:sz w:val="20"/>
                <w:szCs w:val="20"/>
              </w:rPr>
              <w:t>template piani, deliverable pers</w:t>
            </w:r>
            <w:r w:rsidRPr="005A1A82">
              <w:rPr>
                <w:rFonts w:asciiTheme="minorHAnsi" w:hAnsiTheme="minorHAnsi" w:cs="Arial"/>
                <w:sz w:val="20"/>
                <w:szCs w:val="20"/>
              </w:rPr>
              <w:t>onalizzabili per fase) su specifiche in</w:t>
            </w:r>
            <w:r>
              <w:rPr>
                <w:rFonts w:asciiTheme="minorHAnsi" w:hAnsiTheme="minorHAnsi" w:cs="Arial"/>
                <w:sz w:val="20"/>
                <w:szCs w:val="20"/>
              </w:rPr>
              <w:t>i</w:t>
            </w:r>
            <w:r w:rsidRPr="005A1A82">
              <w:rPr>
                <w:rFonts w:asciiTheme="minorHAnsi" w:hAnsiTheme="minorHAnsi" w:cs="Arial"/>
                <w:sz w:val="20"/>
                <w:szCs w:val="20"/>
              </w:rPr>
              <w:t>ziative ICT</w:t>
            </w:r>
          </w:p>
        </w:tc>
        <w:tc>
          <w:tcPr>
            <w:tcW w:w="709" w:type="dxa"/>
            <w:shd w:val="clear" w:color="auto" w:fill="auto"/>
          </w:tcPr>
          <w:p w14:paraId="43FD0064"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39B51AD3" w14:textId="77777777" w:rsidTr="00FF4965">
        <w:tc>
          <w:tcPr>
            <w:tcW w:w="1123" w:type="dxa"/>
            <w:vMerge/>
            <w:shd w:val="clear" w:color="auto" w:fill="auto"/>
          </w:tcPr>
          <w:p w14:paraId="3EECB490"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19D7D1EE" w14:textId="4C31B84F" w:rsidR="00F85D74" w:rsidRDefault="00F85D74" w:rsidP="00FE582E">
            <w:pPr>
              <w:jc w:val="both"/>
              <w:rPr>
                <w:rFonts w:asciiTheme="minorHAnsi" w:hAnsiTheme="minorHAnsi" w:cs="Arial"/>
                <w:sz w:val="20"/>
                <w:szCs w:val="20"/>
              </w:rPr>
            </w:pPr>
            <w:r w:rsidRPr="005A1A82">
              <w:rPr>
                <w:rFonts w:asciiTheme="minorHAnsi" w:hAnsiTheme="minorHAnsi" w:cs="Arial"/>
                <w:sz w:val="20"/>
                <w:szCs w:val="20"/>
              </w:rPr>
              <w:t>Accesso ad una piattaforma on-line proprietaria di valutazione dei prodotti/soluzioni IT, strutturata su: parametri di confronto multipli, alimentati da utilizzatori (identificati) delle tecnologie, secondo i modelli del “social o community rating”.</w:t>
            </w:r>
            <w:r>
              <w:rPr>
                <w:rFonts w:asciiTheme="minorHAnsi" w:hAnsiTheme="minorHAnsi" w:cs="Arial"/>
                <w:sz w:val="20"/>
                <w:szCs w:val="20"/>
              </w:rPr>
              <w:t xml:space="preserve"> </w:t>
            </w:r>
            <w:r w:rsidRPr="009C03B0">
              <w:rPr>
                <w:rFonts w:asciiTheme="minorHAnsi" w:hAnsiTheme="minorHAnsi" w:cs="Arial"/>
                <w:sz w:val="20"/>
                <w:szCs w:val="20"/>
              </w:rPr>
              <w:t>La piattaforma deve permettere la navigazione delle review degli utilizzatori e la rappresentazione grafica del rating per ciascuna dimensione e ciascun utilizzatore che alimenta le recensioni sugli specifici prodott</w:t>
            </w:r>
            <w:r>
              <w:rPr>
                <w:rFonts w:asciiTheme="minorHAnsi" w:hAnsiTheme="minorHAnsi" w:cs="Arial"/>
                <w:sz w:val="20"/>
                <w:szCs w:val="20"/>
              </w:rPr>
              <w:t>i</w:t>
            </w:r>
          </w:p>
        </w:tc>
        <w:tc>
          <w:tcPr>
            <w:tcW w:w="709" w:type="dxa"/>
            <w:shd w:val="clear" w:color="auto" w:fill="auto"/>
          </w:tcPr>
          <w:p w14:paraId="079D543B"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5DAAFDAA" w14:textId="77777777" w:rsidTr="00FF4965">
        <w:tc>
          <w:tcPr>
            <w:tcW w:w="1123" w:type="dxa"/>
            <w:vMerge/>
            <w:shd w:val="clear" w:color="auto" w:fill="auto"/>
          </w:tcPr>
          <w:p w14:paraId="73D2DDC0"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7B920B6D" w14:textId="70009B1B" w:rsidR="00F85D74" w:rsidRPr="00F55F63" w:rsidRDefault="00F85D74" w:rsidP="009C03B0">
            <w:pPr>
              <w:jc w:val="both"/>
              <w:rPr>
                <w:rFonts w:asciiTheme="minorHAnsi" w:hAnsiTheme="minorHAnsi" w:cs="Arial"/>
                <w:sz w:val="20"/>
                <w:szCs w:val="20"/>
              </w:rPr>
            </w:pPr>
            <w:r w:rsidRPr="005A1A82">
              <w:rPr>
                <w:rFonts w:asciiTheme="minorHAnsi" w:hAnsiTheme="minorHAnsi" w:cs="Arial"/>
                <w:sz w:val="20"/>
                <w:szCs w:val="20"/>
              </w:rPr>
              <w:t>Accesso ad una piattaforma proprietaria di “Social Networking” professionale privata tra “CIO” ed “IT Executives”, a livello internazionale, con possibilità di scambio documenti ed esperienze, interna e integrata con la base dati di ricerca del fornitore.</w:t>
            </w:r>
            <w:r>
              <w:rPr>
                <w:rFonts w:asciiTheme="minorHAnsi" w:hAnsiTheme="minorHAnsi" w:cs="Arial"/>
                <w:sz w:val="20"/>
                <w:szCs w:val="20"/>
              </w:rPr>
              <w:t xml:space="preserve"> </w:t>
            </w:r>
            <w:r w:rsidRPr="009C03B0">
              <w:rPr>
                <w:rFonts w:asciiTheme="minorHAnsi" w:hAnsiTheme="minorHAnsi" w:cs="Arial"/>
                <w:sz w:val="20"/>
                <w:szCs w:val="20"/>
              </w:rPr>
              <w:t>La piattaforma deve essere già attiva da almeno 5 anni e popolata di utenti attivi con ruolo di CIO a livello internazionale</w:t>
            </w:r>
            <w:r>
              <w:rPr>
                <w:rFonts w:asciiTheme="minorHAnsi" w:hAnsiTheme="minorHAnsi" w:cs="Arial"/>
                <w:sz w:val="20"/>
                <w:szCs w:val="20"/>
              </w:rPr>
              <w:t>.</w:t>
            </w:r>
            <w:r w:rsidRPr="009C03B0">
              <w:rPr>
                <w:rFonts w:asciiTheme="minorHAnsi" w:hAnsiTheme="minorHAnsi" w:cs="Arial"/>
                <w:sz w:val="20"/>
                <w:szCs w:val="20"/>
              </w:rPr>
              <w:t xml:space="preserve"> La piattaforma deve dare la possibilità ai propri clienti di attivare una richiesta di networking in modalità “private” in maniera indipendente e sicura senza il coinvolgimento o la facilitazione da parte del fornitore</w:t>
            </w:r>
            <w:r>
              <w:rPr>
                <w:rFonts w:asciiTheme="minorHAnsi" w:hAnsiTheme="minorHAnsi" w:cs="Arial"/>
                <w:sz w:val="20"/>
                <w:szCs w:val="20"/>
              </w:rPr>
              <w:t>.</w:t>
            </w:r>
          </w:p>
        </w:tc>
        <w:tc>
          <w:tcPr>
            <w:tcW w:w="709" w:type="dxa"/>
            <w:shd w:val="clear" w:color="auto" w:fill="auto"/>
          </w:tcPr>
          <w:p w14:paraId="2CCD5E64"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0BD24E30" w14:textId="77777777" w:rsidTr="00FF4965">
        <w:tc>
          <w:tcPr>
            <w:tcW w:w="1123" w:type="dxa"/>
            <w:vMerge/>
            <w:shd w:val="clear" w:color="auto" w:fill="auto"/>
          </w:tcPr>
          <w:p w14:paraId="03D24CB6"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35D58F73" w14:textId="77777777" w:rsidR="00F85D74" w:rsidRPr="00F55F63" w:rsidRDefault="00F85D74" w:rsidP="00FE582E">
            <w:pPr>
              <w:jc w:val="both"/>
              <w:rPr>
                <w:rFonts w:asciiTheme="minorHAnsi" w:hAnsiTheme="minorHAnsi" w:cs="Arial"/>
                <w:bCs/>
                <w:i/>
                <w:sz w:val="20"/>
                <w:szCs w:val="20"/>
              </w:rPr>
            </w:pPr>
            <w:r w:rsidRPr="00F55F63">
              <w:rPr>
                <w:rFonts w:asciiTheme="minorHAnsi" w:hAnsiTheme="minorHAnsi" w:cs="Arial"/>
                <w:sz w:val="20"/>
                <w:szCs w:val="20"/>
              </w:rPr>
              <w:t>Analisi e revisione di clausole contrattuali inerenti beni/servizi ICT</w:t>
            </w:r>
          </w:p>
        </w:tc>
        <w:tc>
          <w:tcPr>
            <w:tcW w:w="709" w:type="dxa"/>
            <w:shd w:val="clear" w:color="auto" w:fill="auto"/>
          </w:tcPr>
          <w:p w14:paraId="5CED047E"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6F206C" w:rsidRPr="00F55F63" w14:paraId="43E7F78B" w14:textId="77777777" w:rsidTr="00FF4965">
        <w:tc>
          <w:tcPr>
            <w:tcW w:w="1123" w:type="dxa"/>
            <w:vMerge/>
            <w:shd w:val="clear" w:color="auto" w:fill="auto"/>
          </w:tcPr>
          <w:p w14:paraId="40BA87EC" w14:textId="77777777" w:rsidR="006F206C" w:rsidRPr="00F55F63" w:rsidRDefault="006F206C"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4EFD43C6" w14:textId="10F3A9A6" w:rsidR="006F206C" w:rsidRPr="00FB55CF" w:rsidRDefault="006F206C" w:rsidP="00F85D74">
            <w:pPr>
              <w:jc w:val="both"/>
              <w:rPr>
                <w:rFonts w:asciiTheme="minorHAnsi" w:hAnsiTheme="minorHAnsi" w:cs="Arial"/>
                <w:sz w:val="20"/>
                <w:szCs w:val="20"/>
              </w:rPr>
            </w:pPr>
            <w:r>
              <w:rPr>
                <w:rFonts w:asciiTheme="minorHAnsi" w:hAnsiTheme="minorHAnsi" w:cs="Arial"/>
                <w:sz w:val="20"/>
                <w:szCs w:val="20"/>
              </w:rPr>
              <w:t>A</w:t>
            </w:r>
            <w:r w:rsidRPr="006F206C">
              <w:rPr>
                <w:rFonts w:asciiTheme="minorHAnsi" w:hAnsiTheme="minorHAnsi" w:cs="Arial"/>
                <w:sz w:val="20"/>
                <w:szCs w:val="20"/>
              </w:rPr>
              <w:t>ccesso a ricerche ed analisi dei dati di TCO per le piattaforme server attualmente in uso in Sogei quali (UNIX, Wintel, Linux),</w:t>
            </w:r>
            <w:r>
              <w:rPr>
                <w:rFonts w:asciiTheme="minorHAnsi" w:hAnsiTheme="minorHAnsi" w:cs="Arial"/>
                <w:sz w:val="20"/>
                <w:szCs w:val="20"/>
              </w:rPr>
              <w:t xml:space="preserve"> </w:t>
            </w:r>
            <w:r w:rsidRPr="006F206C">
              <w:rPr>
                <w:rFonts w:asciiTheme="minorHAnsi" w:hAnsiTheme="minorHAnsi" w:cs="Arial"/>
                <w:sz w:val="20"/>
                <w:szCs w:val="20"/>
              </w:rPr>
              <w:t>sui sistemi di storage e sulla rete network per confrontare correttamente i propri costi ed adottare un modello strutturato di confronto</w:t>
            </w:r>
          </w:p>
        </w:tc>
        <w:tc>
          <w:tcPr>
            <w:tcW w:w="709" w:type="dxa"/>
            <w:shd w:val="clear" w:color="auto" w:fill="auto"/>
          </w:tcPr>
          <w:p w14:paraId="651DD101" w14:textId="77777777" w:rsidR="006F206C" w:rsidRPr="00F55F63" w:rsidRDefault="006F206C" w:rsidP="00FE582E">
            <w:pPr>
              <w:spacing w:line="360" w:lineRule="auto"/>
              <w:jc w:val="both"/>
              <w:rPr>
                <w:rFonts w:asciiTheme="minorHAnsi" w:hAnsiTheme="minorHAnsi" w:cs="Arial"/>
                <w:bCs/>
                <w:i/>
                <w:sz w:val="20"/>
                <w:szCs w:val="20"/>
                <w:highlight w:val="green"/>
              </w:rPr>
            </w:pPr>
          </w:p>
        </w:tc>
      </w:tr>
      <w:tr w:rsidR="00F85D74" w:rsidRPr="00F55F63" w14:paraId="23D429CE" w14:textId="77777777" w:rsidTr="00FF4965">
        <w:tc>
          <w:tcPr>
            <w:tcW w:w="1123" w:type="dxa"/>
            <w:vMerge/>
            <w:shd w:val="clear" w:color="auto" w:fill="auto"/>
          </w:tcPr>
          <w:p w14:paraId="1F8B61E8"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4137CE62" w14:textId="25189D95" w:rsidR="00F85D74" w:rsidRPr="00F55F63" w:rsidRDefault="00F85D74" w:rsidP="00F85D74">
            <w:pPr>
              <w:jc w:val="both"/>
              <w:rPr>
                <w:rFonts w:asciiTheme="minorHAnsi" w:hAnsiTheme="minorHAnsi" w:cs="Arial"/>
                <w:sz w:val="20"/>
                <w:szCs w:val="20"/>
              </w:rPr>
            </w:pPr>
            <w:r w:rsidRPr="00FB55CF">
              <w:rPr>
                <w:rFonts w:asciiTheme="minorHAnsi" w:hAnsiTheme="minorHAnsi" w:cs="Arial"/>
                <w:sz w:val="20"/>
                <w:szCs w:val="20"/>
              </w:rPr>
              <w:t>Tabelle di confronto Mainframe performance standard Gartner MIPS vs. IBM MSU</w:t>
            </w:r>
            <w:r>
              <w:rPr>
                <w:rFonts w:asciiTheme="minorHAnsi" w:hAnsiTheme="minorHAnsi" w:cs="Arial"/>
                <w:sz w:val="20"/>
                <w:szCs w:val="20"/>
              </w:rPr>
              <w:t xml:space="preserve">    </w:t>
            </w:r>
            <w:r w:rsidRPr="00F85D74">
              <w:rPr>
                <w:rFonts w:asciiTheme="minorHAnsi" w:hAnsiTheme="minorHAnsi" w:cs="Arial"/>
                <w:sz w:val="20"/>
                <w:szCs w:val="20"/>
              </w:rPr>
              <w:t xml:space="preserve">e al termine dell’evento </w:t>
            </w:r>
          </w:p>
        </w:tc>
        <w:tc>
          <w:tcPr>
            <w:tcW w:w="709" w:type="dxa"/>
            <w:shd w:val="clear" w:color="auto" w:fill="auto"/>
          </w:tcPr>
          <w:p w14:paraId="14F55BEC"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r w:rsidR="00F85D74" w:rsidRPr="00F55F63" w14:paraId="2878A016" w14:textId="77777777" w:rsidTr="00FF4965">
        <w:tc>
          <w:tcPr>
            <w:tcW w:w="1123" w:type="dxa"/>
            <w:vMerge/>
            <w:shd w:val="clear" w:color="auto" w:fill="auto"/>
          </w:tcPr>
          <w:p w14:paraId="6DFFF0FB" w14:textId="77777777" w:rsidR="00F85D74" w:rsidRPr="00F55F63" w:rsidRDefault="00F85D74" w:rsidP="00FE582E">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0ECCC719" w14:textId="399F2907" w:rsidR="00F85D74" w:rsidRPr="00FB55CF" w:rsidRDefault="00F85D74" w:rsidP="00F85D74">
            <w:pPr>
              <w:jc w:val="both"/>
              <w:rPr>
                <w:rFonts w:asciiTheme="minorHAnsi" w:hAnsiTheme="minorHAnsi" w:cs="Arial"/>
                <w:sz w:val="20"/>
                <w:szCs w:val="20"/>
              </w:rPr>
            </w:pPr>
            <w:r>
              <w:rPr>
                <w:rFonts w:asciiTheme="minorHAnsi" w:hAnsiTheme="minorHAnsi" w:cs="Arial"/>
                <w:sz w:val="20"/>
                <w:szCs w:val="20"/>
              </w:rPr>
              <w:t xml:space="preserve">Il portale della ricerca banca dati ICT </w:t>
            </w:r>
            <w:r w:rsidRPr="00F85D74">
              <w:rPr>
                <w:rFonts w:asciiTheme="minorHAnsi" w:hAnsiTheme="minorHAnsi" w:cs="Arial"/>
                <w:sz w:val="20"/>
                <w:szCs w:val="20"/>
              </w:rPr>
              <w:t xml:space="preserve">dovrà </w:t>
            </w:r>
            <w:r>
              <w:rPr>
                <w:rFonts w:asciiTheme="minorHAnsi" w:hAnsiTheme="minorHAnsi" w:cs="Arial"/>
                <w:sz w:val="20"/>
                <w:szCs w:val="20"/>
              </w:rPr>
              <w:t>permettere di schedulare una o più</w:t>
            </w:r>
            <w:r w:rsidRPr="00F85D74">
              <w:rPr>
                <w:rFonts w:asciiTheme="minorHAnsi" w:hAnsiTheme="minorHAnsi" w:cs="Arial"/>
                <w:sz w:val="20"/>
                <w:szCs w:val="20"/>
              </w:rPr>
              <w:t xml:space="preserve"> </w:t>
            </w:r>
            <w:r>
              <w:rPr>
                <w:rFonts w:asciiTheme="minorHAnsi" w:hAnsiTheme="minorHAnsi" w:cs="Arial"/>
                <w:sz w:val="20"/>
                <w:szCs w:val="20"/>
              </w:rPr>
              <w:t xml:space="preserve">sessioni di </w:t>
            </w:r>
            <w:r w:rsidRPr="00F85D74">
              <w:rPr>
                <w:rFonts w:asciiTheme="minorHAnsi" w:hAnsiTheme="minorHAnsi" w:cs="Arial"/>
                <w:sz w:val="20"/>
                <w:szCs w:val="20"/>
              </w:rPr>
              <w:t xml:space="preserve">inquiry con </w:t>
            </w:r>
            <w:r>
              <w:rPr>
                <w:rFonts w:asciiTheme="minorHAnsi" w:hAnsiTheme="minorHAnsi" w:cs="Arial"/>
                <w:sz w:val="20"/>
                <w:szCs w:val="20"/>
              </w:rPr>
              <w:t>gli analisti dedicati esclusivamente alla ricerca</w:t>
            </w:r>
          </w:p>
        </w:tc>
        <w:tc>
          <w:tcPr>
            <w:tcW w:w="709" w:type="dxa"/>
            <w:shd w:val="clear" w:color="auto" w:fill="auto"/>
          </w:tcPr>
          <w:p w14:paraId="60FEC280" w14:textId="77777777" w:rsidR="00F85D74" w:rsidRPr="00F55F63" w:rsidRDefault="00F85D74" w:rsidP="00FE582E">
            <w:pPr>
              <w:spacing w:line="360" w:lineRule="auto"/>
              <w:jc w:val="both"/>
              <w:rPr>
                <w:rFonts w:asciiTheme="minorHAnsi" w:hAnsiTheme="minorHAnsi" w:cs="Arial"/>
                <w:bCs/>
                <w:i/>
                <w:sz w:val="20"/>
                <w:szCs w:val="20"/>
                <w:highlight w:val="green"/>
              </w:rPr>
            </w:pPr>
          </w:p>
        </w:tc>
      </w:tr>
    </w:tbl>
    <w:p w14:paraId="7158885B" w14:textId="38626D4F" w:rsidR="0075179A" w:rsidRDefault="0075179A">
      <w:pPr>
        <w:rPr>
          <w:rFonts w:asciiTheme="minorHAnsi" w:hAnsiTheme="minorHAnsi" w:cstheme="minorHAnsi"/>
        </w:rPr>
      </w:pPr>
    </w:p>
    <w:p w14:paraId="33083A1B" w14:textId="5A7ED7E9" w:rsidR="008A58AF" w:rsidRPr="008A58AF" w:rsidRDefault="008A58AF" w:rsidP="00495574">
      <w:pPr>
        <w:numPr>
          <w:ilvl w:val="0"/>
          <w:numId w:val="5"/>
        </w:numPr>
        <w:jc w:val="both"/>
        <w:rPr>
          <w:rFonts w:asciiTheme="minorHAnsi" w:hAnsiTheme="minorHAnsi" w:cs="Arial"/>
          <w:bCs/>
          <w:sz w:val="20"/>
          <w:szCs w:val="20"/>
        </w:rPr>
      </w:pPr>
      <w:r>
        <w:rPr>
          <w:rFonts w:asciiTheme="minorHAnsi" w:hAnsiTheme="minorHAnsi" w:cs="Arial"/>
          <w:bCs/>
          <w:sz w:val="20"/>
          <w:szCs w:val="20"/>
        </w:rPr>
        <w:t>Sulla base delle esigenze di Sogei per l’evoluzione e potenziamento del proprio personale tecnico,</w:t>
      </w:r>
      <w:r w:rsidRPr="00A73C80">
        <w:rPr>
          <w:rFonts w:asciiTheme="minorHAnsi" w:hAnsiTheme="minorHAnsi" w:cs="Arial"/>
          <w:bCs/>
          <w:sz w:val="20"/>
          <w:szCs w:val="20"/>
        </w:rPr>
        <w:t xml:space="preserve"> l’Azienda è in grado di garantire che </w:t>
      </w:r>
      <w:r w:rsidRPr="008A58AF">
        <w:rPr>
          <w:rFonts w:asciiTheme="minorHAnsi" w:hAnsiTheme="minorHAnsi" w:cs="Arial"/>
          <w:bCs/>
          <w:sz w:val="20"/>
          <w:szCs w:val="20"/>
        </w:rPr>
        <w:t xml:space="preserve">ella banca dati ICT on line sono riscontrabili i seguenti ambiti specifici di ricerca </w:t>
      </w:r>
      <w:r w:rsidR="00495574">
        <w:rPr>
          <w:rFonts w:asciiTheme="minorHAnsi" w:hAnsiTheme="minorHAnsi" w:cs="Arial"/>
          <w:bCs/>
          <w:sz w:val="20"/>
          <w:szCs w:val="20"/>
        </w:rPr>
        <w:t xml:space="preserve">tecnica </w:t>
      </w:r>
      <w:r w:rsidRPr="008A58AF">
        <w:rPr>
          <w:rFonts w:asciiTheme="minorHAnsi" w:hAnsiTheme="minorHAnsi" w:cs="Arial"/>
          <w:bCs/>
          <w:sz w:val="20"/>
          <w:szCs w:val="20"/>
        </w:rPr>
        <w:t xml:space="preserve">? </w:t>
      </w:r>
      <w:r w:rsidR="00495574"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362D2891" w14:textId="77777777" w:rsidR="00495574" w:rsidRDefault="00495574" w:rsidP="00495574">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36"/>
        <w:gridCol w:w="709"/>
      </w:tblGrid>
      <w:tr w:rsidR="00495574" w:rsidRPr="00F55F63" w14:paraId="1B86EF3B" w14:textId="77777777" w:rsidTr="00C65594">
        <w:tc>
          <w:tcPr>
            <w:tcW w:w="1123" w:type="dxa"/>
            <w:tcBorders>
              <w:top w:val="nil"/>
              <w:left w:val="nil"/>
              <w:bottom w:val="single" w:sz="4" w:space="0" w:color="auto"/>
              <w:right w:val="nil"/>
            </w:tcBorders>
            <w:shd w:val="clear" w:color="auto" w:fill="auto"/>
            <w:vAlign w:val="center"/>
          </w:tcPr>
          <w:p w14:paraId="634C0A7D" w14:textId="77777777" w:rsidR="00495574" w:rsidRPr="00F06EAE" w:rsidRDefault="00495574" w:rsidP="00C65594">
            <w:pPr>
              <w:spacing w:line="360" w:lineRule="auto"/>
              <w:rPr>
                <w:rFonts w:asciiTheme="minorHAnsi" w:hAnsiTheme="minorHAnsi" w:cs="Arial"/>
                <w:b/>
                <w:sz w:val="20"/>
                <w:szCs w:val="20"/>
              </w:rPr>
            </w:pPr>
          </w:p>
        </w:tc>
        <w:tc>
          <w:tcPr>
            <w:tcW w:w="5636" w:type="dxa"/>
            <w:tcBorders>
              <w:top w:val="nil"/>
              <w:left w:val="nil"/>
              <w:bottom w:val="single" w:sz="4" w:space="0" w:color="auto"/>
              <w:right w:val="single" w:sz="4" w:space="0" w:color="auto"/>
            </w:tcBorders>
            <w:shd w:val="clear" w:color="auto" w:fill="auto"/>
            <w:vAlign w:val="center"/>
          </w:tcPr>
          <w:p w14:paraId="773B49AE" w14:textId="77777777" w:rsidR="00495574" w:rsidRPr="00F55F63" w:rsidRDefault="00495574" w:rsidP="00C65594">
            <w:pPr>
              <w:jc w:val="both"/>
              <w:rPr>
                <w:rFonts w:asciiTheme="minorHAnsi" w:hAnsiTheme="minorHAnsi" w:cs="Arial"/>
                <w:sz w:val="20"/>
                <w:szCs w:val="20"/>
              </w:rPr>
            </w:pPr>
          </w:p>
        </w:tc>
        <w:tc>
          <w:tcPr>
            <w:tcW w:w="709" w:type="dxa"/>
            <w:tcBorders>
              <w:left w:val="single" w:sz="4" w:space="0" w:color="auto"/>
            </w:tcBorders>
            <w:shd w:val="clear" w:color="auto" w:fill="auto"/>
          </w:tcPr>
          <w:p w14:paraId="3886841C" w14:textId="77777777" w:rsidR="00495574" w:rsidRPr="004A6BE5" w:rsidRDefault="00495574" w:rsidP="00C65594">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495574" w:rsidRPr="00F55F63" w14:paraId="67B0137D" w14:textId="77777777" w:rsidTr="00C65594">
        <w:tc>
          <w:tcPr>
            <w:tcW w:w="1123" w:type="dxa"/>
            <w:vMerge w:val="restart"/>
            <w:tcBorders>
              <w:top w:val="single" w:sz="4" w:space="0" w:color="auto"/>
            </w:tcBorders>
            <w:shd w:val="clear" w:color="auto" w:fill="auto"/>
            <w:vAlign w:val="center"/>
          </w:tcPr>
          <w:p w14:paraId="229461BC" w14:textId="71E986BE" w:rsidR="00495574" w:rsidRPr="00F55F63" w:rsidRDefault="00495574" w:rsidP="00C65594">
            <w:pPr>
              <w:spacing w:line="360" w:lineRule="auto"/>
              <w:rPr>
                <w:rFonts w:asciiTheme="minorHAnsi" w:hAnsiTheme="minorHAnsi" w:cs="Arial"/>
                <w:b/>
                <w:sz w:val="20"/>
                <w:szCs w:val="20"/>
                <w:lang w:val="en-US"/>
              </w:rPr>
            </w:pPr>
            <w:r w:rsidRPr="00F55F63">
              <w:rPr>
                <w:rFonts w:asciiTheme="minorHAnsi" w:hAnsiTheme="minorHAnsi" w:cs="Arial"/>
                <w:b/>
                <w:sz w:val="20"/>
                <w:szCs w:val="20"/>
                <w:lang w:val="en-US"/>
              </w:rPr>
              <w:t xml:space="preserve">Ricerca </w:t>
            </w:r>
            <w:r>
              <w:rPr>
                <w:rFonts w:asciiTheme="minorHAnsi" w:hAnsiTheme="minorHAnsi" w:cs="Arial"/>
                <w:b/>
                <w:sz w:val="20"/>
                <w:szCs w:val="20"/>
                <w:lang w:val="en-US"/>
              </w:rPr>
              <w:t xml:space="preserve">tecnica ICT </w:t>
            </w:r>
            <w:r w:rsidRPr="00F55F63">
              <w:rPr>
                <w:rFonts w:asciiTheme="minorHAnsi" w:hAnsiTheme="minorHAnsi" w:cs="Arial"/>
                <w:b/>
                <w:sz w:val="20"/>
                <w:szCs w:val="20"/>
                <w:lang w:val="en-US"/>
              </w:rPr>
              <w:t>on line</w:t>
            </w:r>
          </w:p>
        </w:tc>
        <w:tc>
          <w:tcPr>
            <w:tcW w:w="5636" w:type="dxa"/>
            <w:tcBorders>
              <w:top w:val="single" w:sz="4" w:space="0" w:color="auto"/>
            </w:tcBorders>
            <w:shd w:val="clear" w:color="auto" w:fill="auto"/>
            <w:vAlign w:val="center"/>
          </w:tcPr>
          <w:p w14:paraId="31761EB9" w14:textId="5E402A2B" w:rsidR="00495574" w:rsidRPr="00F55F63" w:rsidRDefault="00495574" w:rsidP="00C65594">
            <w:pPr>
              <w:jc w:val="both"/>
              <w:rPr>
                <w:rFonts w:asciiTheme="minorHAnsi" w:hAnsiTheme="minorHAnsi" w:cs="Arial"/>
                <w:bCs/>
                <w:i/>
                <w:sz w:val="20"/>
                <w:szCs w:val="20"/>
              </w:rPr>
            </w:pPr>
            <w:r w:rsidRPr="00495574">
              <w:rPr>
                <w:rFonts w:asciiTheme="minorHAnsi" w:hAnsiTheme="minorHAnsi" w:cs="Arial"/>
                <w:sz w:val="20"/>
                <w:szCs w:val="20"/>
              </w:rPr>
              <w:t>Guide Architetturali / Reference Architecture: Strumenti di supporto alle scelte strategiche, asset management, e roadmap delle architetture, centrato sia sugli aspetti tecnologici che organizzativi.</w:t>
            </w:r>
            <w:r w:rsidRPr="001842CF">
              <w:rPr>
                <w:rFonts w:asciiTheme="minorHAnsi" w:hAnsiTheme="minorHAnsi" w:cs="Arial"/>
                <w:sz w:val="20"/>
                <w:szCs w:val="20"/>
              </w:rPr>
              <w:t>.</w:t>
            </w:r>
          </w:p>
        </w:tc>
        <w:tc>
          <w:tcPr>
            <w:tcW w:w="709" w:type="dxa"/>
            <w:shd w:val="clear" w:color="auto" w:fill="auto"/>
          </w:tcPr>
          <w:p w14:paraId="1B85663E" w14:textId="77777777" w:rsidR="00495574" w:rsidRPr="00F55F63" w:rsidRDefault="00495574" w:rsidP="00C65594">
            <w:pPr>
              <w:spacing w:line="360" w:lineRule="auto"/>
              <w:jc w:val="both"/>
              <w:rPr>
                <w:rFonts w:asciiTheme="minorHAnsi" w:hAnsiTheme="minorHAnsi" w:cs="Arial"/>
                <w:bCs/>
                <w:i/>
                <w:sz w:val="20"/>
                <w:szCs w:val="20"/>
                <w:highlight w:val="green"/>
              </w:rPr>
            </w:pPr>
          </w:p>
        </w:tc>
      </w:tr>
      <w:tr w:rsidR="00495574" w:rsidRPr="00F55F63" w14:paraId="32B63B99" w14:textId="77777777" w:rsidTr="00C65594">
        <w:tc>
          <w:tcPr>
            <w:tcW w:w="1123" w:type="dxa"/>
            <w:vMerge/>
            <w:shd w:val="clear" w:color="auto" w:fill="auto"/>
            <w:vAlign w:val="center"/>
          </w:tcPr>
          <w:p w14:paraId="68E8A0BD" w14:textId="77777777" w:rsidR="00495574" w:rsidRPr="00CB5A51" w:rsidRDefault="00495574" w:rsidP="00C65594">
            <w:pPr>
              <w:spacing w:line="360" w:lineRule="auto"/>
              <w:rPr>
                <w:rFonts w:asciiTheme="minorHAnsi" w:hAnsiTheme="minorHAnsi" w:cs="Arial"/>
                <w:b/>
                <w:sz w:val="20"/>
                <w:szCs w:val="20"/>
              </w:rPr>
            </w:pPr>
          </w:p>
        </w:tc>
        <w:tc>
          <w:tcPr>
            <w:tcW w:w="5636" w:type="dxa"/>
            <w:tcBorders>
              <w:top w:val="single" w:sz="4" w:space="0" w:color="auto"/>
            </w:tcBorders>
            <w:shd w:val="clear" w:color="auto" w:fill="auto"/>
            <w:vAlign w:val="center"/>
          </w:tcPr>
          <w:p w14:paraId="0B7738E2" w14:textId="10EC9584" w:rsidR="00495574" w:rsidRPr="00495574" w:rsidRDefault="00495574" w:rsidP="00495574">
            <w:pPr>
              <w:jc w:val="both"/>
              <w:rPr>
                <w:rFonts w:asciiTheme="minorHAnsi" w:hAnsiTheme="minorHAnsi" w:cs="Arial"/>
                <w:sz w:val="20"/>
                <w:szCs w:val="20"/>
              </w:rPr>
            </w:pPr>
            <w:r>
              <w:rPr>
                <w:rFonts w:asciiTheme="minorHAnsi" w:hAnsiTheme="minorHAnsi" w:cs="Arial"/>
                <w:sz w:val="20"/>
                <w:szCs w:val="20"/>
              </w:rPr>
              <w:t>R</w:t>
            </w:r>
            <w:r w:rsidRPr="00495574">
              <w:rPr>
                <w:rFonts w:asciiTheme="minorHAnsi" w:hAnsiTheme="minorHAnsi" w:cs="Arial"/>
                <w:sz w:val="20"/>
                <w:szCs w:val="20"/>
              </w:rPr>
              <w:t>accomandazioni step-by-step per affrontare e implementare al meglio i progetti incentrati sulle tematiche coperte dalla ricerca</w:t>
            </w:r>
          </w:p>
          <w:p w14:paraId="77CDF32A"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lastRenderedPageBreak/>
              <w:t>• Application Platforms</w:t>
            </w:r>
          </w:p>
          <w:p w14:paraId="32F693E3"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Cloud &amp; Virtualization</w:t>
            </w:r>
          </w:p>
          <w:p w14:paraId="3894283C"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Collaboration &amp; Content Management</w:t>
            </w:r>
          </w:p>
          <w:p w14:paraId="26D84530"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Data Center Infrastructure</w:t>
            </w:r>
          </w:p>
          <w:p w14:paraId="51E30F8A"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Data Management</w:t>
            </w:r>
          </w:p>
          <w:p w14:paraId="0ED7F774"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Identity &amp; Access Management</w:t>
            </w:r>
          </w:p>
          <w:p w14:paraId="0E3CDA36" w14:textId="77777777" w:rsidR="00495574" w:rsidRPr="00495574" w:rsidRDefault="00495574" w:rsidP="00495574">
            <w:pPr>
              <w:jc w:val="both"/>
              <w:rPr>
                <w:rFonts w:asciiTheme="minorHAnsi" w:hAnsiTheme="minorHAnsi" w:cs="Arial"/>
                <w:sz w:val="20"/>
                <w:szCs w:val="20"/>
                <w:lang w:val="en-US"/>
              </w:rPr>
            </w:pPr>
            <w:r w:rsidRPr="00495574">
              <w:rPr>
                <w:rFonts w:asciiTheme="minorHAnsi" w:hAnsiTheme="minorHAnsi" w:cs="Arial"/>
                <w:sz w:val="20"/>
                <w:szCs w:val="20"/>
                <w:lang w:val="en-US"/>
              </w:rPr>
              <w:t>• Mobility Management</w:t>
            </w:r>
          </w:p>
          <w:p w14:paraId="3F6B55F1" w14:textId="4F8BFE84" w:rsidR="00495574" w:rsidRPr="00F55F63" w:rsidRDefault="00495574" w:rsidP="00495574">
            <w:pPr>
              <w:jc w:val="both"/>
              <w:rPr>
                <w:rFonts w:asciiTheme="minorHAnsi" w:hAnsiTheme="minorHAnsi" w:cs="Arial"/>
                <w:sz w:val="20"/>
                <w:szCs w:val="20"/>
              </w:rPr>
            </w:pPr>
            <w:r w:rsidRPr="00495574">
              <w:rPr>
                <w:rFonts w:asciiTheme="minorHAnsi" w:hAnsiTheme="minorHAnsi" w:cs="Arial"/>
                <w:sz w:val="20"/>
                <w:szCs w:val="20"/>
              </w:rPr>
              <w:t>• Security &amp; Risk Management</w:t>
            </w:r>
          </w:p>
        </w:tc>
        <w:tc>
          <w:tcPr>
            <w:tcW w:w="709" w:type="dxa"/>
            <w:shd w:val="clear" w:color="auto" w:fill="auto"/>
          </w:tcPr>
          <w:p w14:paraId="13CCCBE1" w14:textId="77777777" w:rsidR="00495574" w:rsidRPr="00F55F63" w:rsidRDefault="00495574" w:rsidP="00C65594">
            <w:pPr>
              <w:spacing w:line="360" w:lineRule="auto"/>
              <w:jc w:val="both"/>
              <w:rPr>
                <w:rFonts w:asciiTheme="minorHAnsi" w:hAnsiTheme="minorHAnsi" w:cs="Arial"/>
                <w:bCs/>
                <w:i/>
                <w:sz w:val="20"/>
                <w:szCs w:val="20"/>
                <w:highlight w:val="green"/>
              </w:rPr>
            </w:pPr>
          </w:p>
        </w:tc>
      </w:tr>
      <w:tr w:rsidR="00495574" w:rsidRPr="00F55F63" w14:paraId="5E2C1435" w14:textId="77777777" w:rsidTr="00C65594">
        <w:tc>
          <w:tcPr>
            <w:tcW w:w="1123" w:type="dxa"/>
            <w:vMerge/>
            <w:shd w:val="clear" w:color="auto" w:fill="auto"/>
          </w:tcPr>
          <w:p w14:paraId="141933A7" w14:textId="77777777" w:rsidR="00495574" w:rsidRPr="00F55F63" w:rsidRDefault="00495574"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25DF43B1" w14:textId="5EDCC596" w:rsidR="00495574" w:rsidRPr="00F55F63" w:rsidRDefault="00495574" w:rsidP="00C65594">
            <w:pPr>
              <w:jc w:val="both"/>
              <w:rPr>
                <w:rFonts w:asciiTheme="minorHAnsi" w:hAnsiTheme="minorHAnsi" w:cs="Arial"/>
                <w:sz w:val="20"/>
                <w:szCs w:val="20"/>
              </w:rPr>
            </w:pPr>
            <w:r w:rsidRPr="00495574">
              <w:rPr>
                <w:rFonts w:asciiTheme="minorHAnsi" w:hAnsiTheme="minorHAnsi" w:cs="Arial"/>
                <w:sz w:val="20"/>
                <w:szCs w:val="20"/>
              </w:rPr>
              <w:t>Evaluation Criteria &amp; Product Assessments: visualizzare e salvare ricerche specifiche sui criteri di valutazione dei prodotti con liste di priorità e di regole tecniche per la loro scelta</w:t>
            </w:r>
          </w:p>
        </w:tc>
        <w:tc>
          <w:tcPr>
            <w:tcW w:w="709" w:type="dxa"/>
            <w:shd w:val="clear" w:color="auto" w:fill="auto"/>
          </w:tcPr>
          <w:p w14:paraId="0134B5B8" w14:textId="77777777" w:rsidR="00495574" w:rsidRPr="00F55F63" w:rsidRDefault="00495574" w:rsidP="00C65594">
            <w:pPr>
              <w:spacing w:line="360" w:lineRule="auto"/>
              <w:jc w:val="both"/>
              <w:rPr>
                <w:rFonts w:asciiTheme="minorHAnsi" w:hAnsiTheme="minorHAnsi" w:cs="Arial"/>
                <w:bCs/>
                <w:i/>
                <w:sz w:val="20"/>
                <w:szCs w:val="20"/>
                <w:highlight w:val="green"/>
              </w:rPr>
            </w:pPr>
          </w:p>
        </w:tc>
      </w:tr>
      <w:tr w:rsidR="00495574" w:rsidRPr="00F55F63" w14:paraId="589E4375" w14:textId="77777777" w:rsidTr="00C65594">
        <w:tc>
          <w:tcPr>
            <w:tcW w:w="1123" w:type="dxa"/>
            <w:vMerge/>
            <w:shd w:val="clear" w:color="auto" w:fill="auto"/>
          </w:tcPr>
          <w:p w14:paraId="5C101037" w14:textId="77777777" w:rsidR="00495574" w:rsidRPr="00F55F63" w:rsidRDefault="00495574"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6F4B06EA" w14:textId="41FCD597" w:rsidR="00495574" w:rsidRPr="00F55F63" w:rsidRDefault="00495574" w:rsidP="00C65594">
            <w:pPr>
              <w:jc w:val="both"/>
              <w:rPr>
                <w:rFonts w:asciiTheme="minorHAnsi" w:hAnsiTheme="minorHAnsi" w:cs="Arial"/>
                <w:bCs/>
                <w:i/>
                <w:sz w:val="20"/>
                <w:szCs w:val="20"/>
              </w:rPr>
            </w:pPr>
            <w:r w:rsidRPr="00495574">
              <w:rPr>
                <w:rFonts w:asciiTheme="minorHAnsi" w:hAnsiTheme="minorHAnsi" w:cs="Arial"/>
                <w:sz w:val="20"/>
                <w:szCs w:val="20"/>
              </w:rPr>
              <w:t>Disponibilità di almeno 100 Analisti focalizzati sulla Ricerca Tecnica ICT e pronti a supportare le figure professionali di Sogei con Inquiry della durata di un’ora</w:t>
            </w:r>
          </w:p>
        </w:tc>
        <w:tc>
          <w:tcPr>
            <w:tcW w:w="709" w:type="dxa"/>
            <w:shd w:val="clear" w:color="auto" w:fill="auto"/>
          </w:tcPr>
          <w:p w14:paraId="2C551F4B" w14:textId="77777777" w:rsidR="00495574" w:rsidRPr="00F55F63" w:rsidRDefault="00495574" w:rsidP="00C65594">
            <w:pPr>
              <w:spacing w:line="360" w:lineRule="auto"/>
              <w:jc w:val="both"/>
              <w:rPr>
                <w:rFonts w:asciiTheme="minorHAnsi" w:hAnsiTheme="minorHAnsi" w:cs="Arial"/>
                <w:bCs/>
                <w:i/>
                <w:sz w:val="20"/>
                <w:szCs w:val="20"/>
                <w:highlight w:val="green"/>
              </w:rPr>
            </w:pPr>
          </w:p>
        </w:tc>
      </w:tr>
    </w:tbl>
    <w:p w14:paraId="3B0762E6" w14:textId="7131E930" w:rsidR="008A58AF" w:rsidRDefault="008A58AF">
      <w:pPr>
        <w:rPr>
          <w:rFonts w:asciiTheme="minorHAnsi" w:hAnsiTheme="minorHAnsi" w:cstheme="minorHAnsi"/>
        </w:rPr>
      </w:pPr>
    </w:p>
    <w:p w14:paraId="58B6ADF8" w14:textId="69F4AC5C" w:rsidR="00A73C80" w:rsidRPr="00A73C80" w:rsidRDefault="00A73C80" w:rsidP="00A73C80">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del modello organizzativo di Sogei, l’Azienda è in grado di garantire che il supporto venga erogato tramite le seguenti attività </w:t>
      </w:r>
      <w:r w:rsidR="008B350D">
        <w:rPr>
          <w:rFonts w:asciiTheme="minorHAnsi" w:hAnsiTheme="minorHAnsi" w:cs="Arial"/>
          <w:bCs/>
          <w:sz w:val="20"/>
          <w:szCs w:val="20"/>
        </w:rPr>
        <w:t>?</w:t>
      </w:r>
      <w:r w:rsidR="00CC50D1">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79A9478C" w14:textId="77777777" w:rsidR="00A73C80" w:rsidRPr="00002057" w:rsidRDefault="00A73C80" w:rsidP="00A73C80">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778"/>
        <w:gridCol w:w="709"/>
      </w:tblGrid>
      <w:tr w:rsidR="00A73C80" w:rsidRPr="00F55F63" w14:paraId="67D0DCA6" w14:textId="77777777" w:rsidTr="00FF4965">
        <w:tc>
          <w:tcPr>
            <w:tcW w:w="988" w:type="dxa"/>
            <w:tcBorders>
              <w:top w:val="nil"/>
              <w:left w:val="nil"/>
              <w:bottom w:val="single" w:sz="4" w:space="0" w:color="auto"/>
              <w:right w:val="nil"/>
            </w:tcBorders>
            <w:shd w:val="clear" w:color="auto" w:fill="auto"/>
            <w:vAlign w:val="center"/>
          </w:tcPr>
          <w:p w14:paraId="2B0DAC22" w14:textId="77777777" w:rsidR="00A73C80" w:rsidRPr="00F06EAE" w:rsidRDefault="00A73C80" w:rsidP="00FE582E">
            <w:pPr>
              <w:spacing w:line="360" w:lineRule="auto"/>
              <w:rPr>
                <w:rFonts w:asciiTheme="minorHAnsi" w:hAnsiTheme="minorHAnsi" w:cs="Arial"/>
                <w:b/>
                <w:sz w:val="20"/>
                <w:szCs w:val="20"/>
              </w:rPr>
            </w:pPr>
          </w:p>
        </w:tc>
        <w:tc>
          <w:tcPr>
            <w:tcW w:w="5778" w:type="dxa"/>
            <w:tcBorders>
              <w:top w:val="nil"/>
              <w:left w:val="nil"/>
              <w:bottom w:val="single" w:sz="4" w:space="0" w:color="auto"/>
              <w:right w:val="single" w:sz="4" w:space="0" w:color="auto"/>
            </w:tcBorders>
            <w:shd w:val="clear" w:color="auto" w:fill="auto"/>
            <w:vAlign w:val="center"/>
          </w:tcPr>
          <w:p w14:paraId="46915EE8" w14:textId="77777777" w:rsidR="00A73C80" w:rsidRPr="00F55F63" w:rsidRDefault="00A73C80" w:rsidP="00FE582E">
            <w:pPr>
              <w:jc w:val="both"/>
              <w:rPr>
                <w:rFonts w:asciiTheme="minorHAnsi" w:hAnsiTheme="minorHAnsi" w:cs="Arial"/>
                <w:sz w:val="20"/>
                <w:szCs w:val="20"/>
              </w:rPr>
            </w:pPr>
          </w:p>
        </w:tc>
        <w:tc>
          <w:tcPr>
            <w:tcW w:w="709" w:type="dxa"/>
            <w:tcBorders>
              <w:left w:val="single" w:sz="4" w:space="0" w:color="auto"/>
            </w:tcBorders>
            <w:shd w:val="clear" w:color="auto" w:fill="auto"/>
          </w:tcPr>
          <w:p w14:paraId="51F2B9DB" w14:textId="77777777" w:rsidR="00A73C80" w:rsidRPr="004A6BE5" w:rsidRDefault="00A73C80" w:rsidP="00FE582E">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1842CF" w:rsidRPr="00F55F63" w14:paraId="628C976C" w14:textId="77777777" w:rsidTr="00FF4965">
        <w:tc>
          <w:tcPr>
            <w:tcW w:w="988" w:type="dxa"/>
            <w:vMerge w:val="restart"/>
            <w:shd w:val="clear" w:color="auto" w:fill="auto"/>
            <w:vAlign w:val="center"/>
          </w:tcPr>
          <w:p w14:paraId="1E0E36F2" w14:textId="77777777" w:rsidR="001842CF" w:rsidRPr="00F55F63" w:rsidRDefault="001842CF" w:rsidP="00FE582E">
            <w:pPr>
              <w:spacing w:line="360" w:lineRule="auto"/>
              <w:rPr>
                <w:rFonts w:asciiTheme="minorHAnsi" w:hAnsiTheme="minorHAnsi" w:cs="Arial"/>
                <w:bCs/>
                <w:i/>
                <w:sz w:val="20"/>
                <w:szCs w:val="20"/>
                <w:highlight w:val="green"/>
              </w:rPr>
            </w:pPr>
            <w:r w:rsidRPr="00F55F63">
              <w:rPr>
                <w:rFonts w:asciiTheme="minorHAnsi" w:hAnsiTheme="minorHAnsi" w:cs="Arial"/>
                <w:b/>
                <w:sz w:val="20"/>
                <w:szCs w:val="20"/>
              </w:rPr>
              <w:t>Supporto</w:t>
            </w:r>
          </w:p>
        </w:tc>
        <w:tc>
          <w:tcPr>
            <w:tcW w:w="5778" w:type="dxa"/>
            <w:shd w:val="clear" w:color="auto" w:fill="auto"/>
            <w:vAlign w:val="center"/>
          </w:tcPr>
          <w:p w14:paraId="225E9B89" w14:textId="77777777" w:rsidR="001842CF" w:rsidRPr="00F55F63" w:rsidRDefault="001842CF" w:rsidP="00FE582E">
            <w:pPr>
              <w:pStyle w:val="microblujustify"/>
              <w:spacing w:before="0" w:beforeAutospacing="0" w:after="0" w:afterAutospacing="0"/>
              <w:jc w:val="both"/>
              <w:rPr>
                <w:rFonts w:asciiTheme="minorHAnsi" w:hAnsiTheme="minorHAnsi" w:cs="Arial"/>
                <w:sz w:val="20"/>
                <w:szCs w:val="20"/>
              </w:rPr>
            </w:pPr>
            <w:r w:rsidRPr="003F13F0">
              <w:rPr>
                <w:rFonts w:asciiTheme="minorHAnsi" w:hAnsiTheme="minorHAnsi" w:cs="Arial"/>
                <w:bCs/>
                <w:sz w:val="20"/>
                <w:szCs w:val="20"/>
              </w:rPr>
              <w:t xml:space="preserve">Erogazione di webinar aventi a tema per es. trend di mercato, government, </w:t>
            </w:r>
            <w:r>
              <w:rPr>
                <w:rFonts w:asciiTheme="minorHAnsi" w:hAnsiTheme="minorHAnsi" w:cs="Arial"/>
                <w:bCs/>
                <w:sz w:val="20"/>
                <w:szCs w:val="20"/>
              </w:rPr>
              <w:t>open innovation</w:t>
            </w:r>
            <w:r w:rsidRPr="003F13F0">
              <w:rPr>
                <w:rFonts w:asciiTheme="minorHAnsi" w:hAnsiTheme="minorHAnsi" w:cs="Arial"/>
                <w:bCs/>
                <w:sz w:val="20"/>
                <w:szCs w:val="20"/>
              </w:rPr>
              <w:t xml:space="preserve">, procurement, </w:t>
            </w:r>
            <w:r>
              <w:rPr>
                <w:rFonts w:asciiTheme="minorHAnsi" w:hAnsiTheme="minorHAnsi" w:cs="Arial"/>
                <w:bCs/>
                <w:sz w:val="20"/>
                <w:szCs w:val="20"/>
              </w:rPr>
              <w:t xml:space="preserve">vendor management </w:t>
            </w:r>
            <w:r w:rsidRPr="003F13F0">
              <w:rPr>
                <w:rFonts w:asciiTheme="minorHAnsi" w:hAnsiTheme="minorHAnsi" w:cs="Arial"/>
                <w:bCs/>
                <w:sz w:val="20"/>
                <w:szCs w:val="20"/>
              </w:rPr>
              <w:t>per la formazione al proprio personal</w:t>
            </w:r>
            <w:r>
              <w:rPr>
                <w:rFonts w:asciiTheme="minorHAnsi" w:hAnsiTheme="minorHAnsi" w:cs="Arial"/>
                <w:bCs/>
                <w:sz w:val="20"/>
                <w:szCs w:val="20"/>
              </w:rPr>
              <w:t>e</w:t>
            </w:r>
          </w:p>
        </w:tc>
        <w:tc>
          <w:tcPr>
            <w:tcW w:w="709" w:type="dxa"/>
            <w:shd w:val="clear" w:color="auto" w:fill="auto"/>
          </w:tcPr>
          <w:p w14:paraId="2281A466" w14:textId="77777777" w:rsidR="001842CF" w:rsidRPr="00F55F63" w:rsidRDefault="001842CF" w:rsidP="00FE582E">
            <w:pPr>
              <w:spacing w:line="360" w:lineRule="auto"/>
              <w:jc w:val="both"/>
              <w:rPr>
                <w:rFonts w:asciiTheme="minorHAnsi" w:hAnsiTheme="minorHAnsi" w:cs="Arial"/>
                <w:bCs/>
                <w:i/>
                <w:sz w:val="20"/>
                <w:szCs w:val="20"/>
                <w:highlight w:val="green"/>
              </w:rPr>
            </w:pPr>
          </w:p>
        </w:tc>
      </w:tr>
      <w:tr w:rsidR="001842CF" w:rsidRPr="00F55F63" w14:paraId="1A0A6BAE" w14:textId="77777777" w:rsidTr="00FF4965">
        <w:tc>
          <w:tcPr>
            <w:tcW w:w="988" w:type="dxa"/>
            <w:vMerge/>
            <w:shd w:val="clear" w:color="auto" w:fill="auto"/>
            <w:vAlign w:val="center"/>
          </w:tcPr>
          <w:p w14:paraId="4699F72E" w14:textId="77777777" w:rsidR="001842CF" w:rsidRPr="00F55F63" w:rsidRDefault="001842CF" w:rsidP="00FE582E">
            <w:pPr>
              <w:spacing w:line="360" w:lineRule="auto"/>
              <w:rPr>
                <w:rFonts w:asciiTheme="minorHAnsi" w:hAnsiTheme="minorHAnsi" w:cs="Arial"/>
                <w:bCs/>
                <w:i/>
                <w:sz w:val="20"/>
                <w:szCs w:val="20"/>
                <w:highlight w:val="green"/>
              </w:rPr>
            </w:pPr>
          </w:p>
        </w:tc>
        <w:tc>
          <w:tcPr>
            <w:tcW w:w="5778" w:type="dxa"/>
            <w:shd w:val="clear" w:color="auto" w:fill="auto"/>
            <w:vAlign w:val="center"/>
          </w:tcPr>
          <w:p w14:paraId="1BAC7D99" w14:textId="276FC8C1" w:rsidR="001842CF" w:rsidRPr="00F55F63" w:rsidRDefault="001842CF" w:rsidP="00E3421D">
            <w:pPr>
              <w:pStyle w:val="microblujustify"/>
              <w:spacing w:before="0" w:beforeAutospacing="0" w:after="0" w:afterAutospacing="0"/>
              <w:jc w:val="both"/>
              <w:rPr>
                <w:rFonts w:asciiTheme="minorHAnsi" w:hAnsiTheme="minorHAnsi" w:cs="Arial"/>
                <w:sz w:val="20"/>
                <w:szCs w:val="20"/>
              </w:rPr>
            </w:pPr>
            <w:r w:rsidRPr="00FA419D">
              <w:rPr>
                <w:rFonts w:asciiTheme="minorHAnsi" w:hAnsiTheme="minorHAnsi" w:cs="Arial"/>
                <w:sz w:val="20"/>
                <w:szCs w:val="20"/>
              </w:rPr>
              <w:t xml:space="preserve">Team di </w:t>
            </w:r>
            <w:r w:rsidR="00E3421D">
              <w:rPr>
                <w:rFonts w:asciiTheme="minorHAnsi" w:hAnsiTheme="minorHAnsi" w:cs="Arial"/>
                <w:sz w:val="20"/>
                <w:szCs w:val="20"/>
              </w:rPr>
              <w:t xml:space="preserve">10 esperti del contesto italiano e in lingua italiana </w:t>
            </w:r>
            <w:r w:rsidRPr="00FA419D">
              <w:rPr>
                <w:rFonts w:asciiTheme="minorHAnsi" w:hAnsiTheme="minorHAnsi" w:cs="Arial"/>
                <w:sz w:val="20"/>
                <w:szCs w:val="20"/>
              </w:rPr>
              <w:t>dedicate alla contestualizzazione e personalizzazione della Ricerca</w:t>
            </w:r>
            <w:r w:rsidR="00E3421D">
              <w:rPr>
                <w:rFonts w:asciiTheme="minorHAnsi" w:hAnsiTheme="minorHAnsi" w:cs="Arial"/>
                <w:sz w:val="20"/>
                <w:szCs w:val="20"/>
              </w:rPr>
              <w:t xml:space="preserve">. Devono possedere un’esperienza </w:t>
            </w:r>
            <w:r w:rsidR="00DC6CE2">
              <w:rPr>
                <w:rFonts w:asciiTheme="minorHAnsi" w:hAnsiTheme="minorHAnsi" w:cs="Arial"/>
                <w:sz w:val="20"/>
                <w:szCs w:val="20"/>
              </w:rPr>
              <w:t xml:space="preserve">documentabile </w:t>
            </w:r>
            <w:r w:rsidR="00DC6CE2" w:rsidRPr="00DC6CE2">
              <w:rPr>
                <w:rFonts w:asciiTheme="minorHAnsi" w:hAnsiTheme="minorHAnsi" w:cs="Arial"/>
                <w:sz w:val="20"/>
                <w:szCs w:val="20"/>
              </w:rPr>
              <w:t>nello svolgimento del ruolo richiesto presso una base di clienti ampia e rappresentativa della PA centrale e locale italiana</w:t>
            </w:r>
            <w:r w:rsidR="00DC6CE2">
              <w:rPr>
                <w:rFonts w:asciiTheme="minorHAnsi" w:hAnsiTheme="minorHAnsi" w:cs="Arial"/>
                <w:sz w:val="20"/>
                <w:szCs w:val="20"/>
              </w:rPr>
              <w:t xml:space="preserve">. E’ inoltre richiesta esperienza </w:t>
            </w:r>
            <w:r w:rsidR="00E3421D">
              <w:rPr>
                <w:rFonts w:asciiTheme="minorHAnsi" w:hAnsiTheme="minorHAnsi" w:cs="Arial"/>
                <w:sz w:val="20"/>
                <w:szCs w:val="20"/>
              </w:rPr>
              <w:t xml:space="preserve">pregressa di almeno 5 anni </w:t>
            </w:r>
            <w:r w:rsidR="00DC6CE2">
              <w:rPr>
                <w:rFonts w:asciiTheme="minorHAnsi" w:hAnsiTheme="minorHAnsi" w:cs="Arial"/>
                <w:sz w:val="20"/>
                <w:szCs w:val="20"/>
              </w:rPr>
              <w:t>nel ruolo di CIO/CTO/</w:t>
            </w:r>
            <w:r w:rsidR="00E3421D" w:rsidRPr="00E3421D">
              <w:rPr>
                <w:rFonts w:asciiTheme="minorHAnsi" w:hAnsiTheme="minorHAnsi" w:cs="Arial"/>
                <w:sz w:val="20"/>
                <w:szCs w:val="20"/>
              </w:rPr>
              <w:t>Direttore Sistemi Informativi di organizzazioni a livello nazionale</w:t>
            </w:r>
          </w:p>
        </w:tc>
        <w:tc>
          <w:tcPr>
            <w:tcW w:w="709" w:type="dxa"/>
            <w:shd w:val="clear" w:color="auto" w:fill="auto"/>
          </w:tcPr>
          <w:p w14:paraId="435B20E9" w14:textId="77777777" w:rsidR="001842CF" w:rsidRPr="00F55F63" w:rsidRDefault="001842CF" w:rsidP="00FE582E">
            <w:pPr>
              <w:spacing w:line="360" w:lineRule="auto"/>
              <w:jc w:val="both"/>
              <w:rPr>
                <w:rFonts w:asciiTheme="minorHAnsi" w:hAnsiTheme="minorHAnsi" w:cs="Arial"/>
                <w:bCs/>
                <w:i/>
                <w:sz w:val="20"/>
                <w:szCs w:val="20"/>
                <w:highlight w:val="green"/>
              </w:rPr>
            </w:pPr>
          </w:p>
        </w:tc>
      </w:tr>
      <w:tr w:rsidR="00673A48" w:rsidRPr="00F55F63" w14:paraId="72AF4FB9" w14:textId="77777777" w:rsidTr="00FF4965">
        <w:tc>
          <w:tcPr>
            <w:tcW w:w="988" w:type="dxa"/>
            <w:vMerge/>
            <w:shd w:val="clear" w:color="auto" w:fill="auto"/>
            <w:vAlign w:val="center"/>
          </w:tcPr>
          <w:p w14:paraId="36518DC7" w14:textId="77777777" w:rsidR="00673A48" w:rsidRPr="00F55F63" w:rsidRDefault="00673A48" w:rsidP="00FE582E">
            <w:pPr>
              <w:spacing w:line="360" w:lineRule="auto"/>
              <w:rPr>
                <w:rFonts w:asciiTheme="minorHAnsi" w:hAnsiTheme="minorHAnsi" w:cs="Arial"/>
                <w:bCs/>
                <w:i/>
                <w:sz w:val="20"/>
                <w:szCs w:val="20"/>
                <w:highlight w:val="green"/>
              </w:rPr>
            </w:pPr>
          </w:p>
        </w:tc>
        <w:tc>
          <w:tcPr>
            <w:tcW w:w="5778" w:type="dxa"/>
            <w:shd w:val="clear" w:color="auto" w:fill="auto"/>
            <w:vAlign w:val="center"/>
          </w:tcPr>
          <w:p w14:paraId="71B8E714" w14:textId="791366C6" w:rsidR="00673A48" w:rsidRPr="0030641D" w:rsidRDefault="00673A48" w:rsidP="00FE582E">
            <w:pPr>
              <w:jc w:val="both"/>
              <w:rPr>
                <w:rFonts w:asciiTheme="minorHAnsi" w:hAnsiTheme="minorHAnsi" w:cs="Arial"/>
                <w:sz w:val="20"/>
                <w:szCs w:val="20"/>
              </w:rPr>
            </w:pPr>
            <w:r w:rsidRPr="00673A48">
              <w:rPr>
                <w:rFonts w:asciiTheme="minorHAnsi" w:hAnsiTheme="minorHAnsi" w:cs="Arial"/>
                <w:sz w:val="20"/>
                <w:szCs w:val="20"/>
              </w:rPr>
              <w:t>Assegnazione di almeno 5 Esperti per supportare Direttori/IT Executive di Sogei e di tutti le Agenzie/Dipartimenti</w:t>
            </w:r>
          </w:p>
        </w:tc>
        <w:tc>
          <w:tcPr>
            <w:tcW w:w="709" w:type="dxa"/>
            <w:shd w:val="clear" w:color="auto" w:fill="auto"/>
          </w:tcPr>
          <w:p w14:paraId="5D85D7A9" w14:textId="77777777" w:rsidR="00673A48" w:rsidRPr="00F55F63" w:rsidRDefault="00673A48" w:rsidP="00FE582E">
            <w:pPr>
              <w:spacing w:line="360" w:lineRule="auto"/>
              <w:jc w:val="both"/>
              <w:rPr>
                <w:rFonts w:asciiTheme="minorHAnsi" w:hAnsiTheme="minorHAnsi" w:cs="Arial"/>
                <w:bCs/>
                <w:i/>
                <w:sz w:val="20"/>
                <w:szCs w:val="20"/>
                <w:highlight w:val="green"/>
              </w:rPr>
            </w:pPr>
          </w:p>
        </w:tc>
      </w:tr>
      <w:tr w:rsidR="001842CF" w:rsidRPr="00F55F63" w14:paraId="7B0EFF5A" w14:textId="77777777" w:rsidTr="00FF4965">
        <w:tc>
          <w:tcPr>
            <w:tcW w:w="988" w:type="dxa"/>
            <w:vMerge/>
            <w:shd w:val="clear" w:color="auto" w:fill="auto"/>
            <w:vAlign w:val="center"/>
          </w:tcPr>
          <w:p w14:paraId="1CD1AE4E" w14:textId="77777777" w:rsidR="001842CF" w:rsidRPr="00F55F63" w:rsidRDefault="001842CF" w:rsidP="00FE582E">
            <w:pPr>
              <w:spacing w:line="360" w:lineRule="auto"/>
              <w:rPr>
                <w:rFonts w:asciiTheme="minorHAnsi" w:hAnsiTheme="minorHAnsi" w:cs="Arial"/>
                <w:bCs/>
                <w:i/>
                <w:sz w:val="20"/>
                <w:szCs w:val="20"/>
                <w:highlight w:val="green"/>
              </w:rPr>
            </w:pPr>
          </w:p>
        </w:tc>
        <w:tc>
          <w:tcPr>
            <w:tcW w:w="5778" w:type="dxa"/>
            <w:shd w:val="clear" w:color="auto" w:fill="auto"/>
            <w:vAlign w:val="center"/>
          </w:tcPr>
          <w:p w14:paraId="3318B3BD" w14:textId="7881A161" w:rsidR="001842CF" w:rsidRPr="00A761EF" w:rsidRDefault="00673A48" w:rsidP="00673A48">
            <w:pPr>
              <w:jc w:val="both"/>
              <w:rPr>
                <w:rFonts w:asciiTheme="minorHAnsi" w:hAnsiTheme="minorHAnsi" w:cs="Arial"/>
                <w:bCs/>
                <w:i/>
                <w:sz w:val="20"/>
                <w:szCs w:val="20"/>
                <w:highlight w:val="yellow"/>
              </w:rPr>
            </w:pPr>
            <w:r>
              <w:rPr>
                <w:rFonts w:asciiTheme="minorHAnsi" w:hAnsiTheme="minorHAnsi" w:cs="Arial"/>
                <w:sz w:val="20"/>
                <w:szCs w:val="20"/>
              </w:rPr>
              <w:t>P</w:t>
            </w:r>
            <w:r w:rsidRPr="00673A48">
              <w:rPr>
                <w:rFonts w:asciiTheme="minorHAnsi" w:hAnsiTheme="minorHAnsi" w:cs="Arial"/>
                <w:sz w:val="20"/>
                <w:szCs w:val="20"/>
              </w:rPr>
              <w:t xml:space="preserve">redisporre incontri con i Direttori per rivedere ed applicare i contenuti propri del servizio sulla realtà concreta </w:t>
            </w:r>
            <w:r>
              <w:rPr>
                <w:rFonts w:asciiTheme="minorHAnsi" w:hAnsiTheme="minorHAnsi" w:cs="Arial"/>
                <w:sz w:val="20"/>
                <w:szCs w:val="20"/>
              </w:rPr>
              <w:t>di Sogei</w:t>
            </w:r>
            <w:r w:rsidRPr="00673A48">
              <w:rPr>
                <w:rFonts w:asciiTheme="minorHAnsi" w:hAnsiTheme="minorHAnsi" w:cs="Arial"/>
                <w:sz w:val="20"/>
                <w:szCs w:val="20"/>
              </w:rPr>
              <w:t xml:space="preserve"> e valutare lo sviluppo del percorso di ricerca più indicato al perse</w:t>
            </w:r>
            <w:r>
              <w:rPr>
                <w:rFonts w:asciiTheme="minorHAnsi" w:hAnsiTheme="minorHAnsi" w:cs="Arial"/>
                <w:sz w:val="20"/>
                <w:szCs w:val="20"/>
              </w:rPr>
              <w:t>guimento degli obiettivi</w:t>
            </w:r>
          </w:p>
        </w:tc>
        <w:tc>
          <w:tcPr>
            <w:tcW w:w="709" w:type="dxa"/>
            <w:shd w:val="clear" w:color="auto" w:fill="auto"/>
          </w:tcPr>
          <w:p w14:paraId="55B4257D" w14:textId="77777777" w:rsidR="001842CF" w:rsidRPr="00F55F63" w:rsidRDefault="001842CF" w:rsidP="00FE582E">
            <w:pPr>
              <w:spacing w:line="360" w:lineRule="auto"/>
              <w:jc w:val="both"/>
              <w:rPr>
                <w:rFonts w:asciiTheme="minorHAnsi" w:hAnsiTheme="minorHAnsi" w:cs="Arial"/>
                <w:bCs/>
                <w:i/>
                <w:sz w:val="20"/>
                <w:szCs w:val="20"/>
                <w:highlight w:val="green"/>
              </w:rPr>
            </w:pPr>
          </w:p>
        </w:tc>
      </w:tr>
      <w:tr w:rsidR="001842CF" w:rsidRPr="00F55F63" w14:paraId="05DB96C9" w14:textId="77777777" w:rsidTr="00FF4965">
        <w:tc>
          <w:tcPr>
            <w:tcW w:w="988" w:type="dxa"/>
            <w:vMerge/>
            <w:shd w:val="clear" w:color="auto" w:fill="auto"/>
            <w:vAlign w:val="center"/>
          </w:tcPr>
          <w:p w14:paraId="096722D3" w14:textId="77777777" w:rsidR="001842CF" w:rsidRPr="00F55F63" w:rsidRDefault="001842CF" w:rsidP="00FE582E">
            <w:pPr>
              <w:spacing w:line="360" w:lineRule="auto"/>
              <w:rPr>
                <w:rFonts w:asciiTheme="minorHAnsi" w:hAnsiTheme="minorHAnsi" w:cs="Arial"/>
                <w:bCs/>
                <w:i/>
                <w:sz w:val="20"/>
                <w:szCs w:val="20"/>
                <w:highlight w:val="green"/>
              </w:rPr>
            </w:pPr>
          </w:p>
        </w:tc>
        <w:tc>
          <w:tcPr>
            <w:tcW w:w="5778" w:type="dxa"/>
            <w:shd w:val="clear" w:color="auto" w:fill="auto"/>
            <w:vAlign w:val="center"/>
          </w:tcPr>
          <w:p w14:paraId="54AFA755" w14:textId="7E73C9B0" w:rsidR="001842CF" w:rsidRPr="0030641D" w:rsidRDefault="00673A48" w:rsidP="00FE582E">
            <w:pPr>
              <w:jc w:val="both"/>
              <w:rPr>
                <w:rFonts w:asciiTheme="minorHAnsi" w:hAnsiTheme="minorHAnsi" w:cs="Arial"/>
                <w:sz w:val="20"/>
                <w:szCs w:val="20"/>
              </w:rPr>
            </w:pPr>
            <w:r>
              <w:rPr>
                <w:rFonts w:asciiTheme="minorHAnsi" w:hAnsiTheme="minorHAnsi" w:cs="Arial"/>
                <w:sz w:val="20"/>
                <w:szCs w:val="20"/>
              </w:rPr>
              <w:t xml:space="preserve">Confronto </w:t>
            </w:r>
            <w:r w:rsidRPr="00673A48">
              <w:rPr>
                <w:rFonts w:asciiTheme="minorHAnsi" w:hAnsiTheme="minorHAnsi" w:cs="Arial"/>
                <w:sz w:val="20"/>
                <w:szCs w:val="20"/>
              </w:rPr>
              <w:t>con gli analisti internazionali e nazionali di riferimento del fornitore sul tema richiesto, al fine di eseguire contestualizzazioni dei contenu</w:t>
            </w:r>
            <w:r>
              <w:rPr>
                <w:rFonts w:asciiTheme="minorHAnsi" w:hAnsiTheme="minorHAnsi" w:cs="Arial"/>
                <w:sz w:val="20"/>
                <w:szCs w:val="20"/>
              </w:rPr>
              <w:t>ti, verificare le best-practice in Italia e nel mondo</w:t>
            </w:r>
          </w:p>
        </w:tc>
        <w:tc>
          <w:tcPr>
            <w:tcW w:w="709" w:type="dxa"/>
            <w:shd w:val="clear" w:color="auto" w:fill="auto"/>
          </w:tcPr>
          <w:p w14:paraId="71B347EF" w14:textId="77777777" w:rsidR="001842CF" w:rsidRPr="00F55F63" w:rsidRDefault="001842CF" w:rsidP="00FE582E">
            <w:pPr>
              <w:spacing w:line="360" w:lineRule="auto"/>
              <w:jc w:val="both"/>
              <w:rPr>
                <w:rFonts w:asciiTheme="minorHAnsi" w:hAnsiTheme="minorHAnsi" w:cs="Arial"/>
                <w:bCs/>
                <w:i/>
                <w:sz w:val="20"/>
                <w:szCs w:val="20"/>
                <w:highlight w:val="green"/>
              </w:rPr>
            </w:pPr>
          </w:p>
        </w:tc>
      </w:tr>
      <w:tr w:rsidR="001842CF" w:rsidRPr="00F55F63" w14:paraId="2416EDDD" w14:textId="77777777" w:rsidTr="00FF4965">
        <w:tc>
          <w:tcPr>
            <w:tcW w:w="988" w:type="dxa"/>
            <w:vMerge/>
            <w:shd w:val="clear" w:color="auto" w:fill="auto"/>
            <w:vAlign w:val="center"/>
          </w:tcPr>
          <w:p w14:paraId="54345357" w14:textId="77777777" w:rsidR="001842CF" w:rsidRPr="00F55F63" w:rsidRDefault="001842CF" w:rsidP="00FE582E">
            <w:pPr>
              <w:spacing w:line="360" w:lineRule="auto"/>
              <w:rPr>
                <w:rFonts w:asciiTheme="minorHAnsi" w:hAnsiTheme="minorHAnsi" w:cs="Arial"/>
                <w:bCs/>
                <w:i/>
                <w:sz w:val="20"/>
                <w:szCs w:val="20"/>
                <w:highlight w:val="green"/>
              </w:rPr>
            </w:pPr>
          </w:p>
        </w:tc>
        <w:tc>
          <w:tcPr>
            <w:tcW w:w="5778" w:type="dxa"/>
            <w:shd w:val="clear" w:color="auto" w:fill="auto"/>
            <w:vAlign w:val="center"/>
          </w:tcPr>
          <w:p w14:paraId="766E24E4" w14:textId="1BF2976C" w:rsidR="001842CF" w:rsidRPr="00673A48" w:rsidRDefault="00673A48" w:rsidP="009F5D42">
            <w:pPr>
              <w:jc w:val="both"/>
              <w:rPr>
                <w:rFonts w:asciiTheme="minorHAnsi" w:hAnsiTheme="minorHAnsi" w:cs="Arial"/>
                <w:sz w:val="20"/>
                <w:szCs w:val="20"/>
              </w:rPr>
            </w:pPr>
            <w:r>
              <w:rPr>
                <w:rFonts w:asciiTheme="minorHAnsi" w:hAnsiTheme="minorHAnsi" w:cs="Arial"/>
                <w:sz w:val="20"/>
                <w:szCs w:val="20"/>
              </w:rPr>
              <w:t>I</w:t>
            </w:r>
            <w:r w:rsidRPr="00673A48">
              <w:rPr>
                <w:rFonts w:asciiTheme="minorHAnsi" w:hAnsiTheme="minorHAnsi" w:cs="Arial"/>
                <w:sz w:val="20"/>
                <w:szCs w:val="20"/>
              </w:rPr>
              <w:t>nteragire con altri clienti di livello CIO utenti del medesimo servizio a livello internazionale e favorire l’interscambio t</w:t>
            </w:r>
            <w:r>
              <w:rPr>
                <w:rFonts w:asciiTheme="minorHAnsi" w:hAnsiTheme="minorHAnsi" w:cs="Arial"/>
                <w:sz w:val="20"/>
                <w:szCs w:val="20"/>
              </w:rPr>
              <w:t>ra realtà analoghe</w:t>
            </w:r>
          </w:p>
        </w:tc>
        <w:tc>
          <w:tcPr>
            <w:tcW w:w="709" w:type="dxa"/>
            <w:shd w:val="clear" w:color="auto" w:fill="auto"/>
          </w:tcPr>
          <w:p w14:paraId="7A8A3B6E" w14:textId="77777777" w:rsidR="001842CF" w:rsidRPr="00F55F63" w:rsidRDefault="001842CF" w:rsidP="00FE582E">
            <w:pPr>
              <w:spacing w:line="360" w:lineRule="auto"/>
              <w:jc w:val="both"/>
              <w:rPr>
                <w:rFonts w:asciiTheme="minorHAnsi" w:hAnsiTheme="minorHAnsi" w:cs="Arial"/>
                <w:bCs/>
                <w:i/>
                <w:sz w:val="20"/>
                <w:szCs w:val="20"/>
                <w:highlight w:val="green"/>
              </w:rPr>
            </w:pPr>
          </w:p>
        </w:tc>
      </w:tr>
    </w:tbl>
    <w:p w14:paraId="4712C3C3" w14:textId="77777777" w:rsidR="00BE51C5" w:rsidRDefault="00BE51C5">
      <w:pPr>
        <w:spacing w:line="276" w:lineRule="auto"/>
        <w:jc w:val="both"/>
        <w:rPr>
          <w:rFonts w:asciiTheme="minorHAnsi" w:hAnsiTheme="minorHAnsi" w:cs="Arial"/>
          <w:bCs/>
          <w:sz w:val="20"/>
          <w:szCs w:val="20"/>
        </w:rPr>
      </w:pPr>
    </w:p>
    <w:p w14:paraId="1319F940" w14:textId="06DA6D49" w:rsidR="0060684F" w:rsidRPr="00A73C80" w:rsidRDefault="0060684F" w:rsidP="0060684F">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sidR="00C754C1">
        <w:rPr>
          <w:rFonts w:asciiTheme="minorHAnsi" w:hAnsiTheme="minorHAnsi" w:cs="Arial"/>
          <w:bCs/>
          <w:sz w:val="20"/>
          <w:szCs w:val="20"/>
        </w:rPr>
        <w:t>de</w:t>
      </w:r>
      <w:r>
        <w:rPr>
          <w:rFonts w:asciiTheme="minorHAnsi" w:hAnsiTheme="minorHAnsi" w:cs="Arial"/>
          <w:bCs/>
          <w:sz w:val="20"/>
          <w:szCs w:val="20"/>
        </w:rPr>
        <w:t xml:space="preserve">lle esigenze </w:t>
      </w:r>
      <w:r w:rsidR="00C754C1">
        <w:rPr>
          <w:rFonts w:asciiTheme="minorHAnsi" w:hAnsiTheme="minorHAnsi" w:cs="Arial"/>
          <w:bCs/>
          <w:sz w:val="20"/>
          <w:szCs w:val="20"/>
        </w:rPr>
        <w:t xml:space="preserve">di Sogei, già espresse nella premessa, </w:t>
      </w:r>
      <w:r w:rsidRPr="00A73C80">
        <w:rPr>
          <w:rFonts w:asciiTheme="minorHAnsi" w:hAnsiTheme="minorHAnsi" w:cs="Arial"/>
          <w:bCs/>
          <w:sz w:val="20"/>
          <w:szCs w:val="20"/>
        </w:rPr>
        <w:t xml:space="preserve">l’Azienda è in grado </w:t>
      </w:r>
      <w:r w:rsidR="008D1A51">
        <w:rPr>
          <w:rFonts w:asciiTheme="minorHAnsi" w:hAnsiTheme="minorHAnsi" w:cs="Arial"/>
          <w:bCs/>
          <w:sz w:val="20"/>
          <w:szCs w:val="20"/>
        </w:rPr>
        <w:t>garantire le caratteristiche qualitative e quantitative dei propri analisti esclusivamente dedicati alla ricerca ?</w:t>
      </w:r>
      <w:r w:rsidR="00CC50D1">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4F278F1D" w14:textId="393B6FEB" w:rsidR="00FF4965" w:rsidRDefault="00FF4965" w:rsidP="00FF4965">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5919"/>
        <w:gridCol w:w="709"/>
      </w:tblGrid>
      <w:tr w:rsidR="0060684F" w:rsidRPr="00F55F63" w14:paraId="475C977D" w14:textId="77777777" w:rsidTr="00FF4965">
        <w:tc>
          <w:tcPr>
            <w:tcW w:w="840" w:type="dxa"/>
            <w:tcBorders>
              <w:top w:val="nil"/>
              <w:left w:val="nil"/>
              <w:bottom w:val="single" w:sz="4" w:space="0" w:color="auto"/>
              <w:right w:val="nil"/>
            </w:tcBorders>
            <w:shd w:val="clear" w:color="auto" w:fill="auto"/>
            <w:vAlign w:val="center"/>
          </w:tcPr>
          <w:p w14:paraId="775A8F26" w14:textId="77777777" w:rsidR="0060684F" w:rsidRPr="00F06EAE" w:rsidRDefault="0060684F" w:rsidP="00FE582E">
            <w:pPr>
              <w:spacing w:line="360" w:lineRule="auto"/>
              <w:rPr>
                <w:rFonts w:asciiTheme="minorHAnsi" w:hAnsiTheme="minorHAnsi" w:cs="Arial"/>
                <w:b/>
                <w:sz w:val="20"/>
                <w:szCs w:val="20"/>
              </w:rPr>
            </w:pPr>
          </w:p>
        </w:tc>
        <w:tc>
          <w:tcPr>
            <w:tcW w:w="5919" w:type="dxa"/>
            <w:tcBorders>
              <w:top w:val="nil"/>
              <w:left w:val="nil"/>
              <w:bottom w:val="single" w:sz="4" w:space="0" w:color="auto"/>
              <w:right w:val="single" w:sz="4" w:space="0" w:color="auto"/>
            </w:tcBorders>
            <w:shd w:val="clear" w:color="auto" w:fill="auto"/>
            <w:vAlign w:val="center"/>
          </w:tcPr>
          <w:p w14:paraId="6832AD06" w14:textId="77777777" w:rsidR="0060684F" w:rsidRPr="00F55F63" w:rsidRDefault="0060684F" w:rsidP="00FE582E">
            <w:pPr>
              <w:jc w:val="both"/>
              <w:rPr>
                <w:rFonts w:asciiTheme="minorHAnsi" w:hAnsiTheme="minorHAnsi" w:cs="Arial"/>
                <w:sz w:val="20"/>
                <w:szCs w:val="20"/>
              </w:rPr>
            </w:pPr>
          </w:p>
        </w:tc>
        <w:tc>
          <w:tcPr>
            <w:tcW w:w="709" w:type="dxa"/>
            <w:tcBorders>
              <w:left w:val="single" w:sz="4" w:space="0" w:color="auto"/>
            </w:tcBorders>
            <w:shd w:val="clear" w:color="auto" w:fill="auto"/>
          </w:tcPr>
          <w:p w14:paraId="7B24A1B5" w14:textId="77777777" w:rsidR="0060684F" w:rsidRPr="004A6BE5" w:rsidRDefault="0060684F" w:rsidP="00FE582E">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60684F" w:rsidRPr="00F55F63" w14:paraId="59F23C2F" w14:textId="77777777" w:rsidTr="00FF4965">
        <w:tc>
          <w:tcPr>
            <w:tcW w:w="840" w:type="dxa"/>
            <w:vMerge w:val="restart"/>
            <w:shd w:val="clear" w:color="auto" w:fill="auto"/>
            <w:vAlign w:val="center"/>
          </w:tcPr>
          <w:p w14:paraId="462C5E44" w14:textId="06BAB0C5" w:rsidR="0060684F" w:rsidRPr="00F55F63" w:rsidRDefault="0060684F" w:rsidP="00FE582E">
            <w:pPr>
              <w:spacing w:line="360" w:lineRule="auto"/>
              <w:rPr>
                <w:rFonts w:asciiTheme="minorHAnsi" w:hAnsiTheme="minorHAnsi" w:cs="Arial"/>
                <w:bCs/>
                <w:i/>
                <w:sz w:val="20"/>
                <w:szCs w:val="20"/>
                <w:highlight w:val="green"/>
              </w:rPr>
            </w:pPr>
            <w:r>
              <w:rPr>
                <w:rFonts w:asciiTheme="minorHAnsi" w:hAnsiTheme="minorHAnsi" w:cs="Arial"/>
                <w:b/>
                <w:sz w:val="20"/>
                <w:szCs w:val="20"/>
              </w:rPr>
              <w:lastRenderedPageBreak/>
              <w:t>Analisti</w:t>
            </w:r>
          </w:p>
        </w:tc>
        <w:tc>
          <w:tcPr>
            <w:tcW w:w="5919" w:type="dxa"/>
            <w:shd w:val="clear" w:color="auto" w:fill="auto"/>
            <w:vAlign w:val="center"/>
          </w:tcPr>
          <w:p w14:paraId="2F2937F6" w14:textId="2D0D45C7" w:rsidR="0060684F" w:rsidRPr="00F55F63" w:rsidRDefault="0060684F" w:rsidP="00FE582E">
            <w:pPr>
              <w:pStyle w:val="microblujustify"/>
              <w:spacing w:before="0" w:beforeAutospacing="0" w:after="0" w:afterAutospacing="0"/>
              <w:jc w:val="both"/>
              <w:rPr>
                <w:rFonts w:asciiTheme="minorHAnsi" w:hAnsiTheme="minorHAnsi" w:cs="Arial"/>
                <w:sz w:val="20"/>
                <w:szCs w:val="20"/>
              </w:rPr>
            </w:pPr>
            <w:r>
              <w:rPr>
                <w:rFonts w:asciiTheme="minorHAnsi" w:hAnsiTheme="minorHAnsi" w:cs="Arial"/>
                <w:bCs/>
                <w:sz w:val="20"/>
                <w:szCs w:val="20"/>
              </w:rPr>
              <w:t>L’</w:t>
            </w:r>
            <w:r w:rsidRPr="0060684F">
              <w:rPr>
                <w:rFonts w:asciiTheme="minorHAnsi" w:hAnsiTheme="minorHAnsi" w:cs="Arial"/>
                <w:bCs/>
                <w:sz w:val="20"/>
                <w:szCs w:val="20"/>
              </w:rPr>
              <w:t>Azienda dovrà avere almeno 1000 Analisti, tutti dipendenti, a garanzia della copertura con singole risorse specializzate ciascuna nei singoli domini di prodotti/servizi ICT (riferimento CPV - Common Procurement Vocabulary per un totale di circa 500 domini ) e di tutti i processi ICT (rif. Cobit, PMI, Prince2, ITIL, etc. per un totale di almeno 400 ambiti)</w:t>
            </w:r>
          </w:p>
        </w:tc>
        <w:tc>
          <w:tcPr>
            <w:tcW w:w="709" w:type="dxa"/>
            <w:shd w:val="clear" w:color="auto" w:fill="auto"/>
          </w:tcPr>
          <w:p w14:paraId="5B54A95D" w14:textId="77777777" w:rsidR="0060684F" w:rsidRPr="00F55F63" w:rsidRDefault="0060684F" w:rsidP="00FE582E">
            <w:pPr>
              <w:spacing w:line="360" w:lineRule="auto"/>
              <w:jc w:val="both"/>
              <w:rPr>
                <w:rFonts w:asciiTheme="minorHAnsi" w:hAnsiTheme="minorHAnsi" w:cs="Arial"/>
                <w:bCs/>
                <w:i/>
                <w:sz w:val="20"/>
                <w:szCs w:val="20"/>
                <w:highlight w:val="green"/>
              </w:rPr>
            </w:pPr>
          </w:p>
        </w:tc>
      </w:tr>
      <w:tr w:rsidR="0060684F" w:rsidRPr="00F55F63" w14:paraId="435CC07D" w14:textId="77777777" w:rsidTr="00FF4965">
        <w:tc>
          <w:tcPr>
            <w:tcW w:w="840" w:type="dxa"/>
            <w:vMerge/>
            <w:shd w:val="clear" w:color="auto" w:fill="auto"/>
            <w:vAlign w:val="center"/>
          </w:tcPr>
          <w:p w14:paraId="77C462DA" w14:textId="77777777" w:rsidR="0060684F" w:rsidRPr="00F55F63" w:rsidRDefault="0060684F" w:rsidP="00FE582E">
            <w:pPr>
              <w:spacing w:line="360" w:lineRule="auto"/>
              <w:rPr>
                <w:rFonts w:asciiTheme="minorHAnsi" w:hAnsiTheme="minorHAnsi" w:cs="Arial"/>
                <w:bCs/>
                <w:i/>
                <w:sz w:val="20"/>
                <w:szCs w:val="20"/>
                <w:highlight w:val="green"/>
              </w:rPr>
            </w:pPr>
          </w:p>
        </w:tc>
        <w:tc>
          <w:tcPr>
            <w:tcW w:w="5919" w:type="dxa"/>
            <w:shd w:val="clear" w:color="auto" w:fill="auto"/>
            <w:vAlign w:val="center"/>
          </w:tcPr>
          <w:p w14:paraId="4411330A" w14:textId="1D1E11EE" w:rsidR="0060684F" w:rsidRPr="0060684F" w:rsidRDefault="0060684F" w:rsidP="00FE582E">
            <w:pPr>
              <w:pStyle w:val="microblujustify"/>
              <w:spacing w:before="0" w:beforeAutospacing="0" w:after="0" w:afterAutospacing="0"/>
              <w:jc w:val="both"/>
              <w:rPr>
                <w:rFonts w:asciiTheme="minorHAnsi" w:hAnsiTheme="minorHAnsi" w:cs="Arial"/>
                <w:sz w:val="20"/>
                <w:szCs w:val="20"/>
              </w:rPr>
            </w:pPr>
            <w:r w:rsidRPr="0060684F">
              <w:rPr>
                <w:rFonts w:asciiTheme="minorHAnsi" w:hAnsiTheme="minorHAnsi" w:cs="Arial"/>
                <w:sz w:val="20"/>
                <w:szCs w:val="20"/>
              </w:rPr>
              <w:t>l pool di Analisti deve aver pubblicato nel triennio 2018-2020 almeno una media di 10.000 documenti di Ricerca all’anno (nuovi o aggiornati)</w:t>
            </w:r>
          </w:p>
        </w:tc>
        <w:tc>
          <w:tcPr>
            <w:tcW w:w="709" w:type="dxa"/>
            <w:shd w:val="clear" w:color="auto" w:fill="auto"/>
          </w:tcPr>
          <w:p w14:paraId="62DFEB8F" w14:textId="77777777" w:rsidR="0060684F" w:rsidRPr="00F55F63" w:rsidRDefault="0060684F" w:rsidP="00FE582E">
            <w:pPr>
              <w:spacing w:line="360" w:lineRule="auto"/>
              <w:jc w:val="both"/>
              <w:rPr>
                <w:rFonts w:asciiTheme="minorHAnsi" w:hAnsiTheme="minorHAnsi" w:cs="Arial"/>
                <w:bCs/>
                <w:i/>
                <w:sz w:val="20"/>
                <w:szCs w:val="20"/>
                <w:highlight w:val="green"/>
              </w:rPr>
            </w:pPr>
          </w:p>
        </w:tc>
      </w:tr>
      <w:tr w:rsidR="0060684F" w:rsidRPr="00F55F63" w14:paraId="5387051C" w14:textId="77777777" w:rsidTr="00FF4965">
        <w:tc>
          <w:tcPr>
            <w:tcW w:w="840" w:type="dxa"/>
            <w:vMerge/>
            <w:shd w:val="clear" w:color="auto" w:fill="auto"/>
            <w:vAlign w:val="center"/>
          </w:tcPr>
          <w:p w14:paraId="3CFBCA64" w14:textId="77777777" w:rsidR="0060684F" w:rsidRPr="00F55F63" w:rsidRDefault="0060684F" w:rsidP="00FE582E">
            <w:pPr>
              <w:spacing w:line="360" w:lineRule="auto"/>
              <w:rPr>
                <w:rFonts w:asciiTheme="minorHAnsi" w:hAnsiTheme="minorHAnsi" w:cs="Arial"/>
                <w:bCs/>
                <w:i/>
                <w:sz w:val="20"/>
                <w:szCs w:val="20"/>
                <w:highlight w:val="green"/>
              </w:rPr>
            </w:pPr>
          </w:p>
        </w:tc>
        <w:tc>
          <w:tcPr>
            <w:tcW w:w="5919" w:type="dxa"/>
            <w:shd w:val="clear" w:color="auto" w:fill="auto"/>
            <w:vAlign w:val="center"/>
          </w:tcPr>
          <w:p w14:paraId="229026B6" w14:textId="3226748B" w:rsidR="0060684F" w:rsidRPr="00F55F63" w:rsidRDefault="0060684F" w:rsidP="00FE582E">
            <w:pPr>
              <w:pStyle w:val="microblujustify"/>
              <w:spacing w:before="0" w:beforeAutospacing="0" w:after="0" w:afterAutospacing="0"/>
              <w:jc w:val="both"/>
              <w:rPr>
                <w:rFonts w:asciiTheme="minorHAnsi" w:hAnsiTheme="minorHAnsi" w:cs="Arial"/>
                <w:sz w:val="20"/>
                <w:szCs w:val="20"/>
              </w:rPr>
            </w:pPr>
            <w:r w:rsidRPr="0060684F">
              <w:rPr>
                <w:rFonts w:asciiTheme="minorHAnsi" w:hAnsiTheme="minorHAnsi" w:cs="Arial"/>
                <w:sz w:val="20"/>
                <w:szCs w:val="20"/>
              </w:rPr>
              <w:t>L’Azienda dovrà avere almeno 11 Analisti di lingua italiana che abbiano una esperienza sulla Pubblica Amministrazione italiana sulla propria area di competenza, e di questi almeno 1 Analista di lingua italiana che sia focalizzato esclusivamente sulla Pubblica Amministrazione</w:t>
            </w:r>
          </w:p>
        </w:tc>
        <w:tc>
          <w:tcPr>
            <w:tcW w:w="709" w:type="dxa"/>
            <w:shd w:val="clear" w:color="auto" w:fill="auto"/>
          </w:tcPr>
          <w:p w14:paraId="0F29D96E" w14:textId="77777777" w:rsidR="0060684F" w:rsidRPr="00F55F63" w:rsidRDefault="0060684F" w:rsidP="00FE582E">
            <w:pPr>
              <w:spacing w:line="360" w:lineRule="auto"/>
              <w:jc w:val="both"/>
              <w:rPr>
                <w:rFonts w:asciiTheme="minorHAnsi" w:hAnsiTheme="minorHAnsi" w:cs="Arial"/>
                <w:bCs/>
                <w:i/>
                <w:sz w:val="20"/>
                <w:szCs w:val="20"/>
                <w:highlight w:val="green"/>
              </w:rPr>
            </w:pPr>
          </w:p>
        </w:tc>
      </w:tr>
      <w:tr w:rsidR="0060684F" w:rsidRPr="00F55F63" w14:paraId="26055046" w14:textId="77777777" w:rsidTr="00FF4965">
        <w:tc>
          <w:tcPr>
            <w:tcW w:w="840" w:type="dxa"/>
            <w:vMerge/>
            <w:shd w:val="clear" w:color="auto" w:fill="auto"/>
            <w:vAlign w:val="center"/>
          </w:tcPr>
          <w:p w14:paraId="7DDBED31" w14:textId="77777777" w:rsidR="0060684F" w:rsidRPr="00F55F63" w:rsidRDefault="0060684F" w:rsidP="00FE582E">
            <w:pPr>
              <w:spacing w:line="360" w:lineRule="auto"/>
              <w:rPr>
                <w:rFonts w:asciiTheme="minorHAnsi" w:hAnsiTheme="minorHAnsi" w:cs="Arial"/>
                <w:bCs/>
                <w:i/>
                <w:sz w:val="20"/>
                <w:szCs w:val="20"/>
                <w:highlight w:val="green"/>
              </w:rPr>
            </w:pPr>
          </w:p>
        </w:tc>
        <w:tc>
          <w:tcPr>
            <w:tcW w:w="5919" w:type="dxa"/>
            <w:shd w:val="clear" w:color="auto" w:fill="auto"/>
            <w:vAlign w:val="center"/>
          </w:tcPr>
          <w:p w14:paraId="792771D3" w14:textId="79840C91" w:rsidR="0060684F" w:rsidRPr="0030641D" w:rsidRDefault="0060684F" w:rsidP="0060684F">
            <w:pPr>
              <w:jc w:val="both"/>
              <w:rPr>
                <w:rFonts w:asciiTheme="minorHAnsi" w:hAnsiTheme="minorHAnsi" w:cs="Arial"/>
                <w:sz w:val="20"/>
                <w:szCs w:val="20"/>
              </w:rPr>
            </w:pPr>
            <w:r w:rsidRPr="0060684F">
              <w:rPr>
                <w:rFonts w:asciiTheme="minorHAnsi" w:hAnsiTheme="minorHAnsi" w:cs="Arial"/>
                <w:sz w:val="20"/>
                <w:szCs w:val="20"/>
              </w:rPr>
              <w:t>L’Azienda dovrà avere a livello internazionale un Team di almeno 18 Analisti dedicato esclusivamente alla Ricerca in ambito Pubblica Amministrazione. Il fornitore deve avere una presenza stabile di strutture di ricerca in altri paesi europei ed a livello mondiale</w:t>
            </w:r>
          </w:p>
        </w:tc>
        <w:tc>
          <w:tcPr>
            <w:tcW w:w="709" w:type="dxa"/>
            <w:shd w:val="clear" w:color="auto" w:fill="auto"/>
          </w:tcPr>
          <w:p w14:paraId="7946A3C2" w14:textId="77777777" w:rsidR="0060684F" w:rsidRPr="00F55F63" w:rsidRDefault="0060684F" w:rsidP="00FE582E">
            <w:pPr>
              <w:spacing w:line="360" w:lineRule="auto"/>
              <w:jc w:val="both"/>
              <w:rPr>
                <w:rFonts w:asciiTheme="minorHAnsi" w:hAnsiTheme="minorHAnsi" w:cs="Arial"/>
                <w:bCs/>
                <w:i/>
                <w:sz w:val="20"/>
                <w:szCs w:val="20"/>
                <w:highlight w:val="green"/>
              </w:rPr>
            </w:pPr>
          </w:p>
        </w:tc>
      </w:tr>
    </w:tbl>
    <w:p w14:paraId="057C2DD0" w14:textId="09185901" w:rsidR="0060684F" w:rsidRPr="008D1A51" w:rsidRDefault="0060684F">
      <w:pPr>
        <w:spacing w:line="276" w:lineRule="auto"/>
        <w:jc w:val="both"/>
        <w:rPr>
          <w:rFonts w:asciiTheme="minorHAnsi" w:hAnsiTheme="minorHAnsi" w:cs="Arial"/>
          <w:bCs/>
          <w:sz w:val="20"/>
          <w:szCs w:val="20"/>
        </w:rPr>
      </w:pPr>
    </w:p>
    <w:p w14:paraId="5F0459EB" w14:textId="5F4031AC" w:rsidR="008D1A51" w:rsidRPr="00A73C80" w:rsidRDefault="008D1A51" w:rsidP="008D1A51">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Pr>
          <w:rFonts w:asciiTheme="minorHAnsi" w:hAnsiTheme="minorHAnsi" w:cs="Arial"/>
          <w:bCs/>
          <w:sz w:val="20"/>
          <w:szCs w:val="20"/>
        </w:rPr>
        <w:t xml:space="preserve">delle esigenze di Sogei, già espresse nella premessa, </w:t>
      </w:r>
      <w:r w:rsidRPr="00A73C80">
        <w:rPr>
          <w:rFonts w:asciiTheme="minorHAnsi" w:hAnsiTheme="minorHAnsi" w:cs="Arial"/>
          <w:bCs/>
          <w:sz w:val="20"/>
          <w:szCs w:val="20"/>
        </w:rPr>
        <w:t xml:space="preserve">l’Azienda è in grado di </w:t>
      </w:r>
      <w:r>
        <w:rPr>
          <w:rFonts w:asciiTheme="minorHAnsi" w:hAnsiTheme="minorHAnsi" w:cs="Arial"/>
          <w:bCs/>
          <w:sz w:val="20"/>
          <w:szCs w:val="20"/>
        </w:rPr>
        <w:t xml:space="preserve">predisporre, sempre all’interno del portale, una piattaforma </w:t>
      </w:r>
      <w:r w:rsidRPr="00482645">
        <w:rPr>
          <w:rFonts w:asciiTheme="minorHAnsi" w:hAnsiTheme="minorHAnsi" w:cs="Arial"/>
          <w:bCs/>
          <w:sz w:val="20"/>
          <w:szCs w:val="20"/>
        </w:rPr>
        <w:t>di benchmark e diagnostica con le caratteristiche</w:t>
      </w:r>
      <w:r>
        <w:rPr>
          <w:rFonts w:asciiTheme="minorHAnsi" w:hAnsiTheme="minorHAnsi" w:cs="Arial"/>
          <w:bCs/>
          <w:sz w:val="20"/>
          <w:szCs w:val="20"/>
        </w:rPr>
        <w:t xml:space="preserve"> indicate sotto</w:t>
      </w:r>
      <w:r w:rsidRPr="00A73C80">
        <w:rPr>
          <w:rFonts w:asciiTheme="minorHAnsi" w:hAnsiTheme="minorHAnsi" w:cs="Arial"/>
          <w:bCs/>
          <w:sz w:val="20"/>
          <w:szCs w:val="20"/>
        </w:rPr>
        <w:t xml:space="preserve"> </w:t>
      </w:r>
      <w:r>
        <w:rPr>
          <w:rFonts w:asciiTheme="minorHAnsi" w:hAnsiTheme="minorHAnsi" w:cs="Arial"/>
          <w:bCs/>
          <w:sz w:val="20"/>
          <w:szCs w:val="20"/>
        </w:rPr>
        <w:t>?</w:t>
      </w:r>
      <w:r w:rsidR="00CC50D1">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3956843C" w14:textId="77777777" w:rsidR="00306930" w:rsidRPr="00002057" w:rsidRDefault="00306930" w:rsidP="00306930">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831"/>
        <w:gridCol w:w="702"/>
      </w:tblGrid>
      <w:tr w:rsidR="008D1A51" w:rsidRPr="00F55F63" w14:paraId="342754AB" w14:textId="77777777" w:rsidTr="00482645">
        <w:tc>
          <w:tcPr>
            <w:tcW w:w="1246" w:type="dxa"/>
            <w:tcBorders>
              <w:top w:val="nil"/>
              <w:left w:val="nil"/>
              <w:bottom w:val="single" w:sz="4" w:space="0" w:color="auto"/>
              <w:right w:val="nil"/>
            </w:tcBorders>
            <w:shd w:val="clear" w:color="auto" w:fill="auto"/>
            <w:vAlign w:val="center"/>
          </w:tcPr>
          <w:p w14:paraId="3E639C3E" w14:textId="77777777" w:rsidR="008D1A51" w:rsidRPr="00F06EAE" w:rsidRDefault="008D1A51" w:rsidP="00FE582E">
            <w:pPr>
              <w:spacing w:line="360" w:lineRule="auto"/>
              <w:rPr>
                <w:rFonts w:asciiTheme="minorHAnsi" w:hAnsiTheme="minorHAnsi" w:cs="Arial"/>
                <w:b/>
                <w:sz w:val="20"/>
                <w:szCs w:val="20"/>
              </w:rPr>
            </w:pPr>
          </w:p>
        </w:tc>
        <w:tc>
          <w:tcPr>
            <w:tcW w:w="5831" w:type="dxa"/>
            <w:tcBorders>
              <w:top w:val="nil"/>
              <w:left w:val="nil"/>
              <w:bottom w:val="single" w:sz="4" w:space="0" w:color="auto"/>
              <w:right w:val="single" w:sz="4" w:space="0" w:color="auto"/>
            </w:tcBorders>
            <w:shd w:val="clear" w:color="auto" w:fill="auto"/>
            <w:vAlign w:val="center"/>
          </w:tcPr>
          <w:p w14:paraId="0E6DDE3A" w14:textId="77777777" w:rsidR="008D1A51" w:rsidRPr="00F55F63" w:rsidRDefault="008D1A51" w:rsidP="00FE582E">
            <w:pPr>
              <w:jc w:val="both"/>
              <w:rPr>
                <w:rFonts w:asciiTheme="minorHAnsi" w:hAnsiTheme="minorHAnsi" w:cs="Arial"/>
                <w:sz w:val="20"/>
                <w:szCs w:val="20"/>
              </w:rPr>
            </w:pPr>
          </w:p>
        </w:tc>
        <w:tc>
          <w:tcPr>
            <w:tcW w:w="702" w:type="dxa"/>
            <w:tcBorders>
              <w:left w:val="single" w:sz="4" w:space="0" w:color="auto"/>
            </w:tcBorders>
            <w:shd w:val="clear" w:color="auto" w:fill="auto"/>
          </w:tcPr>
          <w:p w14:paraId="27F31989" w14:textId="77777777" w:rsidR="008D1A51" w:rsidRPr="004A6BE5" w:rsidRDefault="008D1A51" w:rsidP="00FE582E">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8D1A51" w:rsidRPr="00733A0A" w14:paraId="1C27CDE8" w14:textId="77777777" w:rsidTr="00482645">
        <w:tc>
          <w:tcPr>
            <w:tcW w:w="1246" w:type="dxa"/>
            <w:vMerge w:val="restart"/>
            <w:shd w:val="clear" w:color="auto" w:fill="auto"/>
            <w:vAlign w:val="center"/>
          </w:tcPr>
          <w:p w14:paraId="63E7EAED" w14:textId="076B976E" w:rsidR="008D1A51" w:rsidRPr="00F55F63" w:rsidRDefault="008D1A51" w:rsidP="00FE582E">
            <w:pPr>
              <w:spacing w:line="360" w:lineRule="auto"/>
              <w:rPr>
                <w:rFonts w:asciiTheme="minorHAnsi" w:hAnsiTheme="minorHAnsi" w:cs="Arial"/>
                <w:bCs/>
                <w:i/>
                <w:sz w:val="20"/>
                <w:szCs w:val="20"/>
                <w:highlight w:val="green"/>
              </w:rPr>
            </w:pPr>
            <w:r>
              <w:rPr>
                <w:rFonts w:asciiTheme="minorHAnsi" w:hAnsiTheme="minorHAnsi" w:cs="Arial"/>
                <w:b/>
                <w:sz w:val="20"/>
                <w:szCs w:val="20"/>
              </w:rPr>
              <w:t>P</w:t>
            </w:r>
            <w:r w:rsidR="00987C0B">
              <w:rPr>
                <w:rFonts w:asciiTheme="minorHAnsi" w:hAnsiTheme="minorHAnsi" w:cs="Arial"/>
                <w:b/>
                <w:sz w:val="20"/>
                <w:szCs w:val="20"/>
              </w:rPr>
              <w:t>iattaforma di b</w:t>
            </w:r>
            <w:r>
              <w:rPr>
                <w:rFonts w:asciiTheme="minorHAnsi" w:hAnsiTheme="minorHAnsi" w:cs="Arial"/>
                <w:b/>
                <w:sz w:val="20"/>
                <w:szCs w:val="20"/>
              </w:rPr>
              <w:t>enchmark</w:t>
            </w:r>
            <w:r w:rsidR="00C9316F">
              <w:rPr>
                <w:rFonts w:asciiTheme="minorHAnsi" w:hAnsiTheme="minorHAnsi" w:cs="Arial"/>
                <w:b/>
                <w:sz w:val="20"/>
                <w:szCs w:val="20"/>
              </w:rPr>
              <w:t xml:space="preserve"> e diagnostica</w:t>
            </w:r>
          </w:p>
        </w:tc>
        <w:tc>
          <w:tcPr>
            <w:tcW w:w="5831" w:type="dxa"/>
            <w:shd w:val="clear" w:color="auto" w:fill="auto"/>
            <w:vAlign w:val="center"/>
          </w:tcPr>
          <w:p w14:paraId="532C78E3" w14:textId="1011794B" w:rsidR="008D1A51" w:rsidRPr="00733A0A" w:rsidRDefault="00987C0B" w:rsidP="00FE582E">
            <w:pPr>
              <w:pStyle w:val="microblujustify"/>
              <w:jc w:val="both"/>
              <w:rPr>
                <w:rFonts w:asciiTheme="minorHAnsi" w:hAnsiTheme="minorHAnsi" w:cs="Arial"/>
                <w:bCs/>
                <w:sz w:val="20"/>
                <w:szCs w:val="20"/>
              </w:rPr>
            </w:pPr>
            <w:r>
              <w:rPr>
                <w:rFonts w:asciiTheme="minorHAnsi" w:hAnsiTheme="minorHAnsi" w:cs="Arial"/>
                <w:bCs/>
                <w:sz w:val="20"/>
                <w:szCs w:val="20"/>
              </w:rPr>
              <w:t xml:space="preserve">Tool </w:t>
            </w:r>
            <w:r w:rsidR="008D1A51" w:rsidRPr="00733A0A">
              <w:rPr>
                <w:rFonts w:asciiTheme="minorHAnsi" w:hAnsiTheme="minorHAnsi" w:cs="Arial"/>
                <w:bCs/>
                <w:sz w:val="20"/>
                <w:szCs w:val="20"/>
              </w:rPr>
              <w:t>on</w:t>
            </w:r>
            <w:r>
              <w:rPr>
                <w:rFonts w:asciiTheme="minorHAnsi" w:hAnsiTheme="minorHAnsi" w:cs="Arial"/>
                <w:bCs/>
                <w:sz w:val="20"/>
                <w:szCs w:val="20"/>
              </w:rPr>
              <w:t>-line</w:t>
            </w:r>
            <w:r w:rsidR="008D1A51" w:rsidRPr="00733A0A">
              <w:rPr>
                <w:rFonts w:asciiTheme="minorHAnsi" w:hAnsiTheme="minorHAnsi" w:cs="Arial"/>
                <w:bCs/>
                <w:sz w:val="20"/>
                <w:szCs w:val="20"/>
              </w:rPr>
              <w:t xml:space="preserve"> interattivo di confronto multidimensionale dei prodotti/fornitori di mercato, personalizzabile in base a pesi dei </w:t>
            </w:r>
            <w:r w:rsidR="008D1A51">
              <w:rPr>
                <w:rFonts w:asciiTheme="minorHAnsi" w:hAnsiTheme="minorHAnsi" w:cs="Arial"/>
                <w:bCs/>
                <w:sz w:val="20"/>
                <w:szCs w:val="20"/>
              </w:rPr>
              <w:t>pa</w:t>
            </w:r>
            <w:r w:rsidR="008D1A51" w:rsidRPr="00733A0A">
              <w:rPr>
                <w:rFonts w:asciiTheme="minorHAnsi" w:hAnsiTheme="minorHAnsi" w:cs="Arial"/>
                <w:bCs/>
                <w:sz w:val="20"/>
                <w:szCs w:val="20"/>
              </w:rPr>
              <w:t>rametri, integrato con le valutazioni della piattaforma di social rating ed in grado di fornire vista storica del posizionamento dei singoli fornitori</w:t>
            </w:r>
          </w:p>
        </w:tc>
        <w:tc>
          <w:tcPr>
            <w:tcW w:w="702" w:type="dxa"/>
            <w:shd w:val="clear" w:color="auto" w:fill="auto"/>
          </w:tcPr>
          <w:p w14:paraId="6C2680CB"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F55F63" w14:paraId="1161FA9A" w14:textId="77777777" w:rsidTr="00482645">
        <w:tc>
          <w:tcPr>
            <w:tcW w:w="1246" w:type="dxa"/>
            <w:vMerge/>
            <w:shd w:val="clear" w:color="auto" w:fill="auto"/>
            <w:vAlign w:val="center"/>
          </w:tcPr>
          <w:p w14:paraId="3E12EEF6"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77661740" w14:textId="5243DC39" w:rsidR="008D1A51" w:rsidRPr="0060684F" w:rsidRDefault="00987C0B" w:rsidP="00FE582E">
            <w:pPr>
              <w:pStyle w:val="microblujustify"/>
              <w:spacing w:before="0" w:beforeAutospacing="0" w:after="0" w:afterAutospacing="0"/>
              <w:jc w:val="both"/>
              <w:rPr>
                <w:rFonts w:asciiTheme="minorHAnsi" w:hAnsiTheme="minorHAnsi" w:cs="Arial"/>
                <w:sz w:val="20"/>
                <w:szCs w:val="20"/>
              </w:rPr>
            </w:pPr>
            <w:r>
              <w:rPr>
                <w:rFonts w:asciiTheme="minorHAnsi" w:hAnsiTheme="minorHAnsi" w:cs="Arial"/>
                <w:bCs/>
                <w:sz w:val="20"/>
                <w:szCs w:val="20"/>
              </w:rPr>
              <w:t xml:space="preserve">Tool </w:t>
            </w:r>
            <w:r w:rsidR="008D1A51" w:rsidRPr="00733A0A">
              <w:rPr>
                <w:rFonts w:asciiTheme="minorHAnsi" w:hAnsiTheme="minorHAnsi" w:cs="Arial"/>
                <w:bCs/>
                <w:sz w:val="20"/>
                <w:szCs w:val="20"/>
              </w:rPr>
              <w:t>on</w:t>
            </w:r>
            <w:r>
              <w:rPr>
                <w:rFonts w:asciiTheme="minorHAnsi" w:hAnsiTheme="minorHAnsi" w:cs="Arial"/>
                <w:bCs/>
                <w:sz w:val="20"/>
                <w:szCs w:val="20"/>
              </w:rPr>
              <w:t>-line</w:t>
            </w:r>
            <w:r w:rsidR="008D1A51" w:rsidRPr="00733A0A">
              <w:rPr>
                <w:rFonts w:asciiTheme="minorHAnsi" w:hAnsiTheme="minorHAnsi" w:cs="Arial"/>
                <w:bCs/>
                <w:sz w:val="20"/>
                <w:szCs w:val="20"/>
              </w:rPr>
              <w:t xml:space="preserve"> interattivo di confronti funzionali multi-parametrici tra prodotti/soluzioni IT per diversi settori di mercato e web tool on-line per il confronto basato su “Use Case / Casi d’Uso” personalizzabili</w:t>
            </w:r>
          </w:p>
        </w:tc>
        <w:tc>
          <w:tcPr>
            <w:tcW w:w="702" w:type="dxa"/>
            <w:shd w:val="clear" w:color="auto" w:fill="auto"/>
          </w:tcPr>
          <w:p w14:paraId="2296E1D2" w14:textId="77777777" w:rsidR="008D1A51" w:rsidRPr="00F55F63" w:rsidRDefault="008D1A51" w:rsidP="00FE582E">
            <w:pPr>
              <w:spacing w:line="360" w:lineRule="auto"/>
              <w:jc w:val="both"/>
              <w:rPr>
                <w:rFonts w:asciiTheme="minorHAnsi" w:hAnsiTheme="minorHAnsi" w:cs="Arial"/>
                <w:bCs/>
                <w:i/>
                <w:sz w:val="20"/>
                <w:szCs w:val="20"/>
                <w:highlight w:val="green"/>
              </w:rPr>
            </w:pPr>
          </w:p>
        </w:tc>
      </w:tr>
      <w:tr w:rsidR="008D1A51" w:rsidRPr="00F55F63" w14:paraId="39F54C68" w14:textId="77777777" w:rsidTr="00482645">
        <w:tc>
          <w:tcPr>
            <w:tcW w:w="1246" w:type="dxa"/>
            <w:vMerge/>
            <w:shd w:val="clear" w:color="auto" w:fill="auto"/>
            <w:vAlign w:val="center"/>
          </w:tcPr>
          <w:p w14:paraId="76D79A18" w14:textId="77777777" w:rsidR="008D1A51" w:rsidRPr="00F55F63"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483F74BE" w14:textId="77777777" w:rsidR="008D1A51" w:rsidRPr="00F55F63" w:rsidRDefault="008D1A51" w:rsidP="00FE582E">
            <w:pPr>
              <w:pStyle w:val="microblujustify"/>
              <w:spacing w:before="0" w:beforeAutospacing="0" w:after="0" w:afterAutospacing="0"/>
              <w:jc w:val="both"/>
              <w:rPr>
                <w:rFonts w:asciiTheme="minorHAnsi" w:hAnsiTheme="minorHAnsi" w:cs="Arial"/>
                <w:sz w:val="20"/>
                <w:szCs w:val="20"/>
              </w:rPr>
            </w:pPr>
            <w:r w:rsidRPr="00733A0A">
              <w:rPr>
                <w:rFonts w:asciiTheme="minorHAnsi" w:hAnsiTheme="minorHAnsi" w:cs="Arial"/>
                <w:bCs/>
                <w:sz w:val="20"/>
                <w:szCs w:val="20"/>
              </w:rPr>
              <w:t>Tool on-line di benchmark del TCO e di altre metriche di costo e servizio sui domini IT: es. data center , network, EUC, IT help desk</w:t>
            </w:r>
            <w:r w:rsidRPr="0060684F">
              <w:rPr>
                <w:rFonts w:asciiTheme="minorHAnsi" w:hAnsiTheme="minorHAnsi" w:cs="Arial"/>
                <w:sz w:val="20"/>
                <w:szCs w:val="20"/>
              </w:rPr>
              <w:t xml:space="preserve"> </w:t>
            </w:r>
          </w:p>
        </w:tc>
        <w:tc>
          <w:tcPr>
            <w:tcW w:w="702" w:type="dxa"/>
            <w:shd w:val="clear" w:color="auto" w:fill="auto"/>
          </w:tcPr>
          <w:p w14:paraId="456E77C3" w14:textId="77777777" w:rsidR="008D1A51" w:rsidRPr="00F55F63" w:rsidRDefault="008D1A51" w:rsidP="00FE582E">
            <w:pPr>
              <w:spacing w:line="360" w:lineRule="auto"/>
              <w:jc w:val="both"/>
              <w:rPr>
                <w:rFonts w:asciiTheme="minorHAnsi" w:hAnsiTheme="minorHAnsi" w:cs="Arial"/>
                <w:bCs/>
                <w:i/>
                <w:sz w:val="20"/>
                <w:szCs w:val="20"/>
                <w:highlight w:val="green"/>
              </w:rPr>
            </w:pPr>
          </w:p>
        </w:tc>
      </w:tr>
      <w:tr w:rsidR="008D1A51" w:rsidRPr="006C450D" w14:paraId="0FEB6E8F" w14:textId="77777777" w:rsidTr="00482645">
        <w:tc>
          <w:tcPr>
            <w:tcW w:w="1246" w:type="dxa"/>
            <w:vMerge/>
            <w:shd w:val="clear" w:color="auto" w:fill="auto"/>
            <w:vAlign w:val="center"/>
          </w:tcPr>
          <w:p w14:paraId="12810016" w14:textId="77777777" w:rsidR="008D1A51" w:rsidRPr="00F55F63"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79ECF859" w14:textId="77777777" w:rsidR="008D1A51" w:rsidRPr="00733A0A" w:rsidRDefault="008D1A51" w:rsidP="00FE582E">
            <w:pPr>
              <w:jc w:val="both"/>
              <w:rPr>
                <w:rFonts w:asciiTheme="minorHAnsi" w:hAnsiTheme="minorHAnsi" w:cs="Arial"/>
                <w:bCs/>
                <w:sz w:val="20"/>
                <w:szCs w:val="20"/>
                <w:lang w:val="en-US"/>
              </w:rPr>
            </w:pPr>
            <w:r w:rsidRPr="00733A0A">
              <w:rPr>
                <w:rFonts w:asciiTheme="minorHAnsi" w:hAnsiTheme="minorHAnsi" w:cs="Arial"/>
                <w:bCs/>
                <w:sz w:val="20"/>
                <w:szCs w:val="20"/>
                <w:lang w:val="en-US"/>
              </w:rPr>
              <w:t>Tool on-line di benchmark di spending e staffing in IT Security</w:t>
            </w:r>
          </w:p>
        </w:tc>
        <w:tc>
          <w:tcPr>
            <w:tcW w:w="702" w:type="dxa"/>
            <w:shd w:val="clear" w:color="auto" w:fill="auto"/>
          </w:tcPr>
          <w:p w14:paraId="13005C8E" w14:textId="77777777" w:rsidR="008D1A51" w:rsidRPr="00733A0A" w:rsidRDefault="008D1A51" w:rsidP="00FE582E">
            <w:pPr>
              <w:spacing w:line="360" w:lineRule="auto"/>
              <w:jc w:val="both"/>
              <w:rPr>
                <w:rFonts w:asciiTheme="minorHAnsi" w:hAnsiTheme="minorHAnsi" w:cs="Arial"/>
                <w:bCs/>
                <w:i/>
                <w:sz w:val="20"/>
                <w:szCs w:val="20"/>
                <w:highlight w:val="green"/>
                <w:lang w:val="en-US"/>
              </w:rPr>
            </w:pPr>
          </w:p>
        </w:tc>
      </w:tr>
      <w:tr w:rsidR="008D1A51" w:rsidRPr="00733A0A" w14:paraId="372D1E08" w14:textId="77777777" w:rsidTr="00482645">
        <w:tc>
          <w:tcPr>
            <w:tcW w:w="1246" w:type="dxa"/>
            <w:vMerge/>
            <w:shd w:val="clear" w:color="auto" w:fill="auto"/>
            <w:vAlign w:val="center"/>
          </w:tcPr>
          <w:p w14:paraId="55FD158D" w14:textId="77777777" w:rsidR="008D1A51" w:rsidRPr="00733A0A" w:rsidRDefault="008D1A51" w:rsidP="00FE582E">
            <w:pPr>
              <w:spacing w:line="360" w:lineRule="auto"/>
              <w:rPr>
                <w:rFonts w:asciiTheme="minorHAnsi" w:hAnsiTheme="minorHAnsi" w:cs="Arial"/>
                <w:bCs/>
                <w:i/>
                <w:sz w:val="20"/>
                <w:szCs w:val="20"/>
                <w:highlight w:val="green"/>
                <w:lang w:val="en-US"/>
              </w:rPr>
            </w:pPr>
          </w:p>
        </w:tc>
        <w:tc>
          <w:tcPr>
            <w:tcW w:w="5831" w:type="dxa"/>
            <w:shd w:val="clear" w:color="auto" w:fill="auto"/>
            <w:vAlign w:val="center"/>
          </w:tcPr>
          <w:p w14:paraId="6930A580" w14:textId="77777777" w:rsidR="008D1A51" w:rsidRPr="00733A0A" w:rsidRDefault="008D1A51" w:rsidP="00FE582E">
            <w:pPr>
              <w:jc w:val="both"/>
              <w:rPr>
                <w:rFonts w:asciiTheme="minorHAnsi" w:hAnsiTheme="minorHAnsi" w:cs="Arial"/>
                <w:bCs/>
                <w:sz w:val="20"/>
                <w:szCs w:val="20"/>
              </w:rPr>
            </w:pPr>
            <w:r w:rsidRPr="00733A0A">
              <w:rPr>
                <w:rFonts w:asciiTheme="minorHAnsi" w:hAnsiTheme="minorHAnsi" w:cs="Arial"/>
                <w:bCs/>
                <w:sz w:val="20"/>
                <w:szCs w:val="20"/>
              </w:rPr>
              <w:t>Tool on-line che consenta sulla base della compilazione del proprio spending di avere una comparazione per Industry o</w:t>
            </w:r>
            <w:r>
              <w:rPr>
                <w:rFonts w:asciiTheme="minorHAnsi" w:hAnsiTheme="minorHAnsi" w:cs="Arial"/>
                <w:bCs/>
                <w:sz w:val="20"/>
                <w:szCs w:val="20"/>
              </w:rPr>
              <w:t xml:space="preserve"> per Fatturato/Budget aziendale con funzioni di:</w:t>
            </w:r>
          </w:p>
          <w:p w14:paraId="0A4A1331" w14:textId="77777777" w:rsidR="008D1A51" w:rsidRPr="00733A0A" w:rsidRDefault="008D1A51" w:rsidP="00FE582E">
            <w:pPr>
              <w:jc w:val="both"/>
              <w:rPr>
                <w:rFonts w:asciiTheme="minorHAnsi" w:hAnsiTheme="minorHAnsi" w:cs="Arial"/>
                <w:bCs/>
                <w:sz w:val="20"/>
                <w:szCs w:val="20"/>
              </w:rPr>
            </w:pPr>
            <w:r>
              <w:rPr>
                <w:rFonts w:asciiTheme="minorHAnsi" w:hAnsiTheme="minorHAnsi" w:cs="Arial"/>
                <w:bCs/>
                <w:sz w:val="20"/>
                <w:szCs w:val="20"/>
              </w:rPr>
              <w:t xml:space="preserve">- </w:t>
            </w:r>
            <w:r w:rsidRPr="00733A0A">
              <w:rPr>
                <w:rFonts w:asciiTheme="minorHAnsi" w:hAnsiTheme="minorHAnsi" w:cs="Arial"/>
                <w:bCs/>
                <w:sz w:val="20"/>
                <w:szCs w:val="20"/>
              </w:rPr>
              <w:t>generazione di report in formato .PPT</w:t>
            </w:r>
          </w:p>
          <w:p w14:paraId="56CF03A9" w14:textId="77777777" w:rsidR="008D1A51" w:rsidRPr="00733A0A" w:rsidRDefault="008D1A51" w:rsidP="00FE582E">
            <w:pPr>
              <w:jc w:val="both"/>
              <w:rPr>
                <w:rFonts w:asciiTheme="minorHAnsi" w:hAnsiTheme="minorHAnsi" w:cs="Arial"/>
                <w:bCs/>
                <w:sz w:val="20"/>
                <w:szCs w:val="20"/>
              </w:rPr>
            </w:pPr>
            <w:r>
              <w:rPr>
                <w:rFonts w:asciiTheme="minorHAnsi" w:hAnsiTheme="minorHAnsi" w:cs="Arial"/>
                <w:bCs/>
                <w:sz w:val="20"/>
                <w:szCs w:val="20"/>
              </w:rPr>
              <w:t xml:space="preserve">- </w:t>
            </w:r>
            <w:r w:rsidRPr="00733A0A">
              <w:rPr>
                <w:rFonts w:asciiTheme="minorHAnsi" w:hAnsiTheme="minorHAnsi" w:cs="Arial"/>
                <w:bCs/>
                <w:sz w:val="20"/>
                <w:szCs w:val="20"/>
              </w:rPr>
              <w:t>editing dinamico (modifica dato genera modifica grafica) del .PPT di confronto</w:t>
            </w:r>
          </w:p>
          <w:p w14:paraId="5ECC4176" w14:textId="77777777" w:rsidR="008D1A51" w:rsidRPr="00733A0A" w:rsidRDefault="008D1A51" w:rsidP="00FE582E">
            <w:pPr>
              <w:jc w:val="both"/>
              <w:rPr>
                <w:rFonts w:asciiTheme="minorHAnsi" w:hAnsiTheme="minorHAnsi" w:cs="Arial"/>
                <w:bCs/>
                <w:sz w:val="20"/>
                <w:szCs w:val="20"/>
              </w:rPr>
            </w:pPr>
            <w:r>
              <w:rPr>
                <w:rFonts w:asciiTheme="minorHAnsi" w:hAnsiTheme="minorHAnsi" w:cs="Arial"/>
                <w:bCs/>
                <w:sz w:val="20"/>
                <w:szCs w:val="20"/>
              </w:rPr>
              <w:t>- v</w:t>
            </w:r>
            <w:r w:rsidRPr="00733A0A">
              <w:rPr>
                <w:rFonts w:asciiTheme="minorHAnsi" w:hAnsiTheme="minorHAnsi" w:cs="Arial"/>
                <w:bCs/>
                <w:sz w:val="20"/>
                <w:szCs w:val="20"/>
              </w:rPr>
              <w:t>iste multiple su parametri di spesa e confronto rispetto a 25mo e 75mo percentile su almeno 30 metriche</w:t>
            </w:r>
          </w:p>
        </w:tc>
        <w:tc>
          <w:tcPr>
            <w:tcW w:w="702" w:type="dxa"/>
            <w:shd w:val="clear" w:color="auto" w:fill="auto"/>
          </w:tcPr>
          <w:p w14:paraId="5CF82841"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733A0A" w14:paraId="5E62AC63" w14:textId="77777777" w:rsidTr="00482645">
        <w:tc>
          <w:tcPr>
            <w:tcW w:w="1246" w:type="dxa"/>
            <w:vMerge/>
            <w:shd w:val="clear" w:color="auto" w:fill="auto"/>
            <w:vAlign w:val="center"/>
          </w:tcPr>
          <w:p w14:paraId="58E5D945"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04CD0709" w14:textId="77777777" w:rsidR="008D1A51" w:rsidRPr="00733A0A" w:rsidRDefault="008D1A51" w:rsidP="00FE582E">
            <w:pPr>
              <w:jc w:val="both"/>
              <w:rPr>
                <w:rFonts w:asciiTheme="minorHAnsi" w:hAnsiTheme="minorHAnsi" w:cs="Arial"/>
                <w:bCs/>
                <w:sz w:val="20"/>
                <w:szCs w:val="20"/>
              </w:rPr>
            </w:pPr>
            <w:r w:rsidRPr="00733A0A">
              <w:rPr>
                <w:rFonts w:asciiTheme="minorHAnsi" w:hAnsiTheme="minorHAnsi" w:cs="Arial"/>
                <w:bCs/>
                <w:sz w:val="20"/>
                <w:szCs w:val="20"/>
              </w:rPr>
              <w:t>Altri strumenti on-line interattivi per ac</w:t>
            </w:r>
            <w:r>
              <w:rPr>
                <w:rFonts w:asciiTheme="minorHAnsi" w:hAnsiTheme="minorHAnsi" w:cs="Arial"/>
                <w:bCs/>
                <w:sz w:val="20"/>
                <w:szCs w:val="20"/>
              </w:rPr>
              <w:t>c</w:t>
            </w:r>
            <w:r w:rsidRPr="00733A0A">
              <w:rPr>
                <w:rFonts w:asciiTheme="minorHAnsi" w:hAnsiTheme="minorHAnsi" w:cs="Arial"/>
                <w:bCs/>
                <w:sz w:val="20"/>
                <w:szCs w:val="20"/>
              </w:rPr>
              <w:t>esso a metriche di Turnover, Anzianità organizzativa, Gestione risorse ad alto potenziale</w:t>
            </w:r>
          </w:p>
        </w:tc>
        <w:tc>
          <w:tcPr>
            <w:tcW w:w="702" w:type="dxa"/>
            <w:shd w:val="clear" w:color="auto" w:fill="auto"/>
          </w:tcPr>
          <w:p w14:paraId="48938503"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733A0A" w14:paraId="60645E38" w14:textId="77777777" w:rsidTr="00482645">
        <w:tc>
          <w:tcPr>
            <w:tcW w:w="1246" w:type="dxa"/>
            <w:vMerge/>
            <w:shd w:val="clear" w:color="auto" w:fill="auto"/>
            <w:vAlign w:val="center"/>
          </w:tcPr>
          <w:p w14:paraId="0A7C4C2D"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5D8317A3" w14:textId="77777777" w:rsidR="008D1A51" w:rsidRPr="00733A0A" w:rsidRDefault="008D1A51" w:rsidP="00FE582E">
            <w:pPr>
              <w:jc w:val="both"/>
              <w:rPr>
                <w:rFonts w:asciiTheme="minorHAnsi" w:hAnsiTheme="minorHAnsi" w:cs="Arial"/>
                <w:bCs/>
                <w:sz w:val="20"/>
                <w:szCs w:val="20"/>
              </w:rPr>
            </w:pPr>
            <w:r w:rsidRPr="00733A0A">
              <w:rPr>
                <w:rFonts w:asciiTheme="minorHAnsi" w:hAnsiTheme="minorHAnsi" w:cs="Arial"/>
                <w:bCs/>
                <w:sz w:val="20"/>
                <w:szCs w:val="20"/>
              </w:rPr>
              <w:t>Tool Interattivi per il calcolo del TCO per hiring e turnover</w:t>
            </w:r>
          </w:p>
        </w:tc>
        <w:tc>
          <w:tcPr>
            <w:tcW w:w="702" w:type="dxa"/>
            <w:shd w:val="clear" w:color="auto" w:fill="auto"/>
          </w:tcPr>
          <w:p w14:paraId="092EB863"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733A0A" w14:paraId="17182617" w14:textId="77777777" w:rsidTr="00482645">
        <w:tc>
          <w:tcPr>
            <w:tcW w:w="1246" w:type="dxa"/>
            <w:vMerge/>
            <w:shd w:val="clear" w:color="auto" w:fill="auto"/>
            <w:vAlign w:val="center"/>
          </w:tcPr>
          <w:p w14:paraId="057F634A"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0310B24D" w14:textId="77777777" w:rsidR="008D1A51" w:rsidRPr="00733A0A" w:rsidRDefault="008D1A51" w:rsidP="00FE582E">
            <w:pPr>
              <w:jc w:val="both"/>
              <w:rPr>
                <w:rFonts w:asciiTheme="minorHAnsi" w:hAnsiTheme="minorHAnsi" w:cs="Arial"/>
                <w:bCs/>
                <w:sz w:val="20"/>
                <w:szCs w:val="20"/>
              </w:rPr>
            </w:pPr>
            <w:r w:rsidRPr="00733A0A">
              <w:rPr>
                <w:rFonts w:asciiTheme="minorHAnsi" w:hAnsiTheme="minorHAnsi" w:cs="Arial"/>
                <w:bCs/>
                <w:sz w:val="20"/>
                <w:szCs w:val="20"/>
              </w:rPr>
              <w:t>Metriche distinte per industry (compreso governemnt) a livello internazionale per le attività di training e sviluppo delle risorse</w:t>
            </w:r>
          </w:p>
        </w:tc>
        <w:tc>
          <w:tcPr>
            <w:tcW w:w="702" w:type="dxa"/>
            <w:shd w:val="clear" w:color="auto" w:fill="auto"/>
          </w:tcPr>
          <w:p w14:paraId="3294F217"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C34262" w14:paraId="0A9354D0" w14:textId="77777777" w:rsidTr="00482645">
        <w:tc>
          <w:tcPr>
            <w:tcW w:w="1246" w:type="dxa"/>
            <w:vMerge/>
            <w:shd w:val="clear" w:color="auto" w:fill="auto"/>
            <w:vAlign w:val="center"/>
          </w:tcPr>
          <w:p w14:paraId="147A00A6"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27778DF0" w14:textId="77777777" w:rsidR="008D1A51" w:rsidRPr="00F17E02" w:rsidRDefault="008D1A51" w:rsidP="00FE582E">
            <w:pPr>
              <w:jc w:val="both"/>
              <w:rPr>
                <w:rFonts w:asciiTheme="minorHAnsi" w:hAnsiTheme="minorHAnsi" w:cs="Arial"/>
                <w:bCs/>
                <w:sz w:val="20"/>
                <w:szCs w:val="20"/>
              </w:rPr>
            </w:pPr>
            <w:r w:rsidRPr="00F17E02">
              <w:rPr>
                <w:rFonts w:asciiTheme="minorHAnsi" w:hAnsiTheme="minorHAnsi" w:cs="Arial"/>
                <w:bCs/>
                <w:sz w:val="20"/>
                <w:szCs w:val="20"/>
              </w:rPr>
              <w:t>Strumenti di diagnostici di valutazione della maturità e la pianificazione delle azioni di miglioramento delle pratiche di trasformazione digitale per le risorse umane</w:t>
            </w:r>
            <w:r>
              <w:rPr>
                <w:rFonts w:asciiTheme="minorHAnsi" w:hAnsiTheme="minorHAnsi" w:cs="Arial"/>
                <w:bCs/>
                <w:sz w:val="20"/>
                <w:szCs w:val="20"/>
              </w:rPr>
              <w:t xml:space="preserve">: </w:t>
            </w:r>
          </w:p>
          <w:p w14:paraId="308CFB6B" w14:textId="77777777" w:rsidR="008D1A51" w:rsidRPr="00F17E02" w:rsidRDefault="008D1A51" w:rsidP="00FE582E">
            <w:pPr>
              <w:jc w:val="both"/>
              <w:rPr>
                <w:rFonts w:asciiTheme="minorHAnsi" w:hAnsiTheme="minorHAnsi" w:cs="Arial"/>
                <w:bCs/>
                <w:sz w:val="20"/>
                <w:szCs w:val="20"/>
              </w:rPr>
            </w:pPr>
            <w:r>
              <w:rPr>
                <w:rFonts w:asciiTheme="minorHAnsi" w:hAnsiTheme="minorHAnsi" w:cs="Arial"/>
                <w:bCs/>
                <w:sz w:val="20"/>
                <w:szCs w:val="20"/>
              </w:rPr>
              <w:t>- a</w:t>
            </w:r>
            <w:r w:rsidRPr="00F17E02">
              <w:rPr>
                <w:rFonts w:asciiTheme="minorHAnsi" w:hAnsiTheme="minorHAnsi" w:cs="Arial"/>
                <w:bCs/>
                <w:sz w:val="20"/>
                <w:szCs w:val="20"/>
              </w:rPr>
              <w:t>nalytics per la Gestione dei talenti</w:t>
            </w:r>
          </w:p>
          <w:p w14:paraId="2B95F96F" w14:textId="77777777" w:rsidR="008D1A51" w:rsidRPr="00F17E02" w:rsidRDefault="008D1A51" w:rsidP="00FE582E">
            <w:pPr>
              <w:jc w:val="both"/>
              <w:rPr>
                <w:rFonts w:asciiTheme="minorHAnsi" w:hAnsiTheme="minorHAnsi" w:cs="Arial"/>
                <w:bCs/>
                <w:sz w:val="20"/>
                <w:szCs w:val="20"/>
              </w:rPr>
            </w:pPr>
            <w:r>
              <w:rPr>
                <w:rFonts w:asciiTheme="minorHAnsi" w:hAnsiTheme="minorHAnsi" w:cs="Arial"/>
                <w:bCs/>
                <w:sz w:val="20"/>
                <w:szCs w:val="20"/>
              </w:rPr>
              <w:t xml:space="preserve">- </w:t>
            </w:r>
            <w:r w:rsidRPr="00F17E02">
              <w:rPr>
                <w:rFonts w:asciiTheme="minorHAnsi" w:hAnsiTheme="minorHAnsi" w:cs="Arial"/>
                <w:bCs/>
                <w:sz w:val="20"/>
                <w:szCs w:val="20"/>
              </w:rPr>
              <w:t>Recruiting delle risorse nel contesto della trasformazione digitale</w:t>
            </w:r>
          </w:p>
          <w:p w14:paraId="338EEEB1" w14:textId="77777777" w:rsidR="008D1A51" w:rsidRPr="00F17E02" w:rsidRDefault="008D1A51" w:rsidP="00FE582E">
            <w:pPr>
              <w:jc w:val="both"/>
              <w:rPr>
                <w:rFonts w:asciiTheme="minorHAnsi" w:hAnsiTheme="minorHAnsi" w:cs="Arial"/>
                <w:bCs/>
                <w:sz w:val="20"/>
                <w:szCs w:val="20"/>
              </w:rPr>
            </w:pPr>
            <w:r>
              <w:rPr>
                <w:rFonts w:asciiTheme="minorHAnsi" w:hAnsiTheme="minorHAnsi" w:cs="Arial"/>
                <w:bCs/>
                <w:sz w:val="20"/>
                <w:szCs w:val="20"/>
              </w:rPr>
              <w:t xml:space="preserve">- </w:t>
            </w:r>
            <w:r w:rsidRPr="00F17E02">
              <w:rPr>
                <w:rFonts w:asciiTheme="minorHAnsi" w:hAnsiTheme="minorHAnsi" w:cs="Arial"/>
                <w:bCs/>
                <w:sz w:val="20"/>
                <w:szCs w:val="20"/>
              </w:rPr>
              <w:t>Inclusione e Diversità nel contesto dei modelli di delivery per la trasformazione digitale</w:t>
            </w:r>
          </w:p>
          <w:p w14:paraId="0D67CE33" w14:textId="77777777" w:rsidR="008D1A51" w:rsidRPr="008D1A51" w:rsidRDefault="008D1A51" w:rsidP="00FE582E">
            <w:pPr>
              <w:jc w:val="both"/>
              <w:rPr>
                <w:rFonts w:asciiTheme="minorHAnsi" w:hAnsiTheme="minorHAnsi" w:cs="Arial"/>
                <w:bCs/>
                <w:sz w:val="20"/>
                <w:szCs w:val="20"/>
                <w:lang w:val="en-US"/>
              </w:rPr>
            </w:pPr>
            <w:r w:rsidRPr="008D1A51">
              <w:rPr>
                <w:rFonts w:asciiTheme="minorHAnsi" w:hAnsiTheme="minorHAnsi" w:cs="Arial"/>
                <w:bCs/>
                <w:sz w:val="20"/>
                <w:szCs w:val="20"/>
                <w:lang w:val="en-US"/>
              </w:rPr>
              <w:t>- Learning e Develpoment delle risorse</w:t>
            </w:r>
          </w:p>
          <w:p w14:paraId="625E4275" w14:textId="77777777" w:rsidR="008D1A51" w:rsidRPr="008D1A51" w:rsidRDefault="008D1A51" w:rsidP="00FE582E">
            <w:pPr>
              <w:jc w:val="both"/>
              <w:rPr>
                <w:rFonts w:asciiTheme="minorHAnsi" w:hAnsiTheme="minorHAnsi" w:cs="Arial"/>
                <w:bCs/>
                <w:sz w:val="20"/>
                <w:szCs w:val="20"/>
                <w:lang w:val="en-US"/>
              </w:rPr>
            </w:pPr>
            <w:r w:rsidRPr="008D1A51">
              <w:rPr>
                <w:rFonts w:asciiTheme="minorHAnsi" w:hAnsiTheme="minorHAnsi" w:cs="Arial"/>
                <w:bCs/>
                <w:sz w:val="20"/>
                <w:szCs w:val="20"/>
                <w:lang w:val="en-US"/>
              </w:rPr>
              <w:t xml:space="preserve">- </w:t>
            </w:r>
            <w:r w:rsidRPr="00F17E02">
              <w:rPr>
                <w:rFonts w:asciiTheme="minorHAnsi" w:hAnsiTheme="minorHAnsi" w:cs="Arial"/>
                <w:bCs/>
                <w:sz w:val="20"/>
                <w:szCs w:val="20"/>
                <w:lang w:val="en-US"/>
              </w:rPr>
              <w:t>Business Alignment per HR ed IT</w:t>
            </w:r>
          </w:p>
        </w:tc>
        <w:tc>
          <w:tcPr>
            <w:tcW w:w="702" w:type="dxa"/>
            <w:shd w:val="clear" w:color="auto" w:fill="auto"/>
          </w:tcPr>
          <w:p w14:paraId="55286ABA" w14:textId="77777777" w:rsidR="008D1A51" w:rsidRPr="00F17E02" w:rsidRDefault="008D1A51" w:rsidP="00FE582E">
            <w:pPr>
              <w:spacing w:line="360" w:lineRule="auto"/>
              <w:jc w:val="both"/>
              <w:rPr>
                <w:rFonts w:asciiTheme="minorHAnsi" w:hAnsiTheme="minorHAnsi" w:cs="Arial"/>
                <w:bCs/>
                <w:i/>
                <w:sz w:val="20"/>
                <w:szCs w:val="20"/>
                <w:highlight w:val="green"/>
                <w:lang w:val="en-US"/>
              </w:rPr>
            </w:pPr>
          </w:p>
        </w:tc>
      </w:tr>
      <w:tr w:rsidR="008D1A51" w:rsidRPr="00733A0A" w14:paraId="0C02765F" w14:textId="77777777" w:rsidTr="00482645">
        <w:tc>
          <w:tcPr>
            <w:tcW w:w="1246" w:type="dxa"/>
            <w:vMerge/>
            <w:shd w:val="clear" w:color="auto" w:fill="auto"/>
            <w:vAlign w:val="center"/>
          </w:tcPr>
          <w:p w14:paraId="7CE989DE" w14:textId="77777777" w:rsidR="008D1A51" w:rsidRPr="00F17E02" w:rsidRDefault="008D1A51" w:rsidP="00FE582E">
            <w:pPr>
              <w:spacing w:line="360" w:lineRule="auto"/>
              <w:rPr>
                <w:rFonts w:asciiTheme="minorHAnsi" w:hAnsiTheme="minorHAnsi" w:cs="Arial"/>
                <w:bCs/>
                <w:i/>
                <w:sz w:val="20"/>
                <w:szCs w:val="20"/>
                <w:highlight w:val="green"/>
                <w:lang w:val="en-US"/>
              </w:rPr>
            </w:pPr>
          </w:p>
        </w:tc>
        <w:tc>
          <w:tcPr>
            <w:tcW w:w="5831" w:type="dxa"/>
            <w:shd w:val="clear" w:color="auto" w:fill="auto"/>
            <w:vAlign w:val="center"/>
          </w:tcPr>
          <w:p w14:paraId="265B0E6C" w14:textId="77777777" w:rsidR="008D1A51" w:rsidRPr="00733A0A" w:rsidRDefault="008D1A51" w:rsidP="00FE582E">
            <w:pPr>
              <w:jc w:val="both"/>
              <w:rPr>
                <w:rFonts w:asciiTheme="minorHAnsi" w:hAnsiTheme="minorHAnsi" w:cs="Arial"/>
                <w:bCs/>
                <w:sz w:val="20"/>
                <w:szCs w:val="20"/>
              </w:rPr>
            </w:pPr>
            <w:r w:rsidRPr="00733A0A">
              <w:rPr>
                <w:rFonts w:asciiTheme="minorHAnsi" w:hAnsiTheme="minorHAnsi" w:cs="Arial"/>
                <w:bCs/>
                <w:sz w:val="20"/>
                <w:szCs w:val="20"/>
              </w:rPr>
              <w:t>Tool on-line interattivi per l’accesso a metriche di spending HR</w:t>
            </w:r>
          </w:p>
        </w:tc>
        <w:tc>
          <w:tcPr>
            <w:tcW w:w="702" w:type="dxa"/>
            <w:shd w:val="clear" w:color="auto" w:fill="auto"/>
          </w:tcPr>
          <w:p w14:paraId="0E4519FB"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r w:rsidR="008D1A51" w:rsidRPr="00733A0A" w14:paraId="0CEBE7F6" w14:textId="77777777" w:rsidTr="00482645">
        <w:tc>
          <w:tcPr>
            <w:tcW w:w="1246" w:type="dxa"/>
            <w:vMerge/>
            <w:shd w:val="clear" w:color="auto" w:fill="auto"/>
            <w:vAlign w:val="center"/>
          </w:tcPr>
          <w:p w14:paraId="5583D93A" w14:textId="77777777" w:rsidR="008D1A51" w:rsidRPr="00733A0A" w:rsidRDefault="008D1A51"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3E31612F" w14:textId="77777777" w:rsidR="008D1A51" w:rsidRPr="00733A0A" w:rsidRDefault="008D1A51" w:rsidP="00FE582E">
            <w:pPr>
              <w:jc w:val="both"/>
              <w:rPr>
                <w:rFonts w:asciiTheme="minorHAnsi" w:hAnsiTheme="minorHAnsi" w:cs="Arial"/>
                <w:sz w:val="20"/>
                <w:szCs w:val="20"/>
              </w:rPr>
            </w:pPr>
            <w:r w:rsidRPr="00733A0A">
              <w:rPr>
                <w:rFonts w:asciiTheme="minorHAnsi" w:hAnsiTheme="minorHAnsi" w:cs="Arial"/>
                <w:sz w:val="20"/>
                <w:szCs w:val="20"/>
              </w:rPr>
              <w:t>Tool on-line interattivo per l’accesso a metriche di staffing di sottofunzioni quali: Gestione talenti , gestione sviluppo e training, processi amministrativi hr, gestione recruiting risorse</w:t>
            </w:r>
          </w:p>
        </w:tc>
        <w:tc>
          <w:tcPr>
            <w:tcW w:w="702" w:type="dxa"/>
            <w:shd w:val="clear" w:color="auto" w:fill="auto"/>
          </w:tcPr>
          <w:p w14:paraId="076A1D1F" w14:textId="77777777" w:rsidR="008D1A51" w:rsidRPr="00733A0A" w:rsidRDefault="008D1A51" w:rsidP="00FE582E">
            <w:pPr>
              <w:spacing w:line="360" w:lineRule="auto"/>
              <w:jc w:val="both"/>
              <w:rPr>
                <w:rFonts w:asciiTheme="minorHAnsi" w:hAnsiTheme="minorHAnsi" w:cs="Arial"/>
                <w:bCs/>
                <w:i/>
                <w:sz w:val="20"/>
                <w:szCs w:val="20"/>
                <w:highlight w:val="green"/>
              </w:rPr>
            </w:pPr>
          </w:p>
        </w:tc>
      </w:tr>
    </w:tbl>
    <w:p w14:paraId="60329ABF" w14:textId="7257B16F" w:rsidR="008D1A51" w:rsidRDefault="008D1A51">
      <w:pPr>
        <w:spacing w:line="276" w:lineRule="auto"/>
        <w:jc w:val="both"/>
        <w:rPr>
          <w:rFonts w:asciiTheme="minorHAnsi" w:hAnsiTheme="minorHAnsi" w:cs="Arial"/>
          <w:bCs/>
          <w:sz w:val="20"/>
          <w:szCs w:val="20"/>
        </w:rPr>
      </w:pPr>
    </w:p>
    <w:p w14:paraId="21C63012" w14:textId="1EBAB7A7" w:rsidR="00987C0B" w:rsidRDefault="00987C0B" w:rsidP="00987C0B">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Pr>
          <w:rFonts w:asciiTheme="minorHAnsi" w:hAnsiTheme="minorHAnsi" w:cs="Arial"/>
          <w:bCs/>
          <w:sz w:val="20"/>
          <w:szCs w:val="20"/>
        </w:rPr>
        <w:t xml:space="preserve">delle esigenze di Sogei, già espresse nella premessa, </w:t>
      </w:r>
      <w:r w:rsidRPr="00A73C80">
        <w:rPr>
          <w:rFonts w:asciiTheme="minorHAnsi" w:hAnsiTheme="minorHAnsi" w:cs="Arial"/>
          <w:bCs/>
          <w:sz w:val="20"/>
          <w:szCs w:val="20"/>
        </w:rPr>
        <w:t xml:space="preserve">l’Azienda è in grado di </w:t>
      </w:r>
      <w:r>
        <w:rPr>
          <w:rFonts w:asciiTheme="minorHAnsi" w:hAnsiTheme="minorHAnsi" w:cs="Arial"/>
          <w:bCs/>
          <w:sz w:val="20"/>
          <w:szCs w:val="20"/>
        </w:rPr>
        <w:t xml:space="preserve">predisporre, sempre all’interno del portale, una piattaforma </w:t>
      </w:r>
      <w:r w:rsidRPr="00482645">
        <w:rPr>
          <w:rFonts w:asciiTheme="minorHAnsi" w:hAnsiTheme="minorHAnsi" w:cs="Arial"/>
          <w:bCs/>
          <w:sz w:val="20"/>
          <w:szCs w:val="20"/>
        </w:rPr>
        <w:t xml:space="preserve">di benchmark </w:t>
      </w:r>
      <w:r>
        <w:rPr>
          <w:rFonts w:asciiTheme="minorHAnsi" w:hAnsiTheme="minorHAnsi" w:cs="Arial"/>
          <w:bCs/>
          <w:sz w:val="20"/>
          <w:szCs w:val="20"/>
        </w:rPr>
        <w:t>Publc Cloud</w:t>
      </w:r>
      <w:r w:rsidRPr="00482645">
        <w:rPr>
          <w:rFonts w:asciiTheme="minorHAnsi" w:hAnsiTheme="minorHAnsi" w:cs="Arial"/>
          <w:bCs/>
          <w:sz w:val="20"/>
          <w:szCs w:val="20"/>
        </w:rPr>
        <w:t xml:space="preserve"> con le caratteristiche</w:t>
      </w:r>
      <w:r>
        <w:rPr>
          <w:rFonts w:asciiTheme="minorHAnsi" w:hAnsiTheme="minorHAnsi" w:cs="Arial"/>
          <w:bCs/>
          <w:sz w:val="20"/>
          <w:szCs w:val="20"/>
        </w:rPr>
        <w:t xml:space="preserve"> indicate sotto</w:t>
      </w:r>
      <w:r w:rsidRPr="00A73C80">
        <w:rPr>
          <w:rFonts w:asciiTheme="minorHAnsi" w:hAnsiTheme="minorHAnsi" w:cs="Arial"/>
          <w:bCs/>
          <w:sz w:val="20"/>
          <w:szCs w:val="20"/>
        </w:rPr>
        <w:t xml:space="preserve"> </w:t>
      </w:r>
      <w:r>
        <w:rPr>
          <w:rFonts w:asciiTheme="minorHAnsi" w:hAnsiTheme="minorHAnsi" w:cs="Arial"/>
          <w:bCs/>
          <w:sz w:val="20"/>
          <w:szCs w:val="20"/>
        </w:rPr>
        <w:t>?</w:t>
      </w:r>
      <w:r w:rsidR="00CC50D1">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1EAECF86" w14:textId="77777777" w:rsidR="00306930" w:rsidRPr="00002057" w:rsidRDefault="00306930" w:rsidP="00306930">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831"/>
        <w:gridCol w:w="702"/>
      </w:tblGrid>
      <w:tr w:rsidR="00987C0B" w:rsidRPr="00F55F63" w14:paraId="70802DD7" w14:textId="77777777" w:rsidTr="00FE582E">
        <w:tc>
          <w:tcPr>
            <w:tcW w:w="1246" w:type="dxa"/>
            <w:tcBorders>
              <w:top w:val="nil"/>
              <w:left w:val="nil"/>
              <w:bottom w:val="single" w:sz="4" w:space="0" w:color="auto"/>
              <w:right w:val="nil"/>
            </w:tcBorders>
            <w:shd w:val="clear" w:color="auto" w:fill="auto"/>
            <w:vAlign w:val="center"/>
          </w:tcPr>
          <w:p w14:paraId="62C9165F" w14:textId="77777777" w:rsidR="00987C0B" w:rsidRPr="00F06EAE" w:rsidRDefault="00987C0B" w:rsidP="00FE582E">
            <w:pPr>
              <w:spacing w:line="360" w:lineRule="auto"/>
              <w:rPr>
                <w:rFonts w:asciiTheme="minorHAnsi" w:hAnsiTheme="minorHAnsi" w:cs="Arial"/>
                <w:b/>
                <w:sz w:val="20"/>
                <w:szCs w:val="20"/>
              </w:rPr>
            </w:pPr>
          </w:p>
        </w:tc>
        <w:tc>
          <w:tcPr>
            <w:tcW w:w="5831" w:type="dxa"/>
            <w:tcBorders>
              <w:top w:val="nil"/>
              <w:left w:val="nil"/>
              <w:bottom w:val="single" w:sz="4" w:space="0" w:color="auto"/>
              <w:right w:val="single" w:sz="4" w:space="0" w:color="auto"/>
            </w:tcBorders>
            <w:shd w:val="clear" w:color="auto" w:fill="auto"/>
            <w:vAlign w:val="center"/>
          </w:tcPr>
          <w:p w14:paraId="576C25F5" w14:textId="77777777" w:rsidR="00987C0B" w:rsidRPr="00F55F63" w:rsidRDefault="00987C0B" w:rsidP="00FE582E">
            <w:pPr>
              <w:jc w:val="both"/>
              <w:rPr>
                <w:rFonts w:asciiTheme="minorHAnsi" w:hAnsiTheme="minorHAnsi" w:cs="Arial"/>
                <w:sz w:val="20"/>
                <w:szCs w:val="20"/>
              </w:rPr>
            </w:pPr>
          </w:p>
        </w:tc>
        <w:tc>
          <w:tcPr>
            <w:tcW w:w="702" w:type="dxa"/>
            <w:tcBorders>
              <w:left w:val="single" w:sz="4" w:space="0" w:color="auto"/>
            </w:tcBorders>
            <w:shd w:val="clear" w:color="auto" w:fill="auto"/>
          </w:tcPr>
          <w:p w14:paraId="6AF913F9" w14:textId="77777777" w:rsidR="00987C0B" w:rsidRPr="004A6BE5" w:rsidRDefault="00987C0B" w:rsidP="00FE582E">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987C0B" w:rsidRPr="00733A0A" w14:paraId="3AFEFEB0" w14:textId="77777777" w:rsidTr="00FE582E">
        <w:tc>
          <w:tcPr>
            <w:tcW w:w="1246" w:type="dxa"/>
            <w:vMerge w:val="restart"/>
            <w:shd w:val="clear" w:color="auto" w:fill="auto"/>
            <w:vAlign w:val="center"/>
          </w:tcPr>
          <w:p w14:paraId="006B9103" w14:textId="59F23CC0" w:rsidR="00987C0B" w:rsidRPr="00F55F63" w:rsidRDefault="00987C0B" w:rsidP="00FE582E">
            <w:pPr>
              <w:spacing w:line="360" w:lineRule="auto"/>
              <w:rPr>
                <w:rFonts w:asciiTheme="minorHAnsi" w:hAnsiTheme="minorHAnsi" w:cs="Arial"/>
                <w:bCs/>
                <w:i/>
                <w:sz w:val="20"/>
                <w:szCs w:val="20"/>
                <w:highlight w:val="green"/>
              </w:rPr>
            </w:pPr>
            <w:r>
              <w:rPr>
                <w:rFonts w:asciiTheme="minorHAnsi" w:hAnsiTheme="minorHAnsi" w:cs="Arial"/>
                <w:b/>
                <w:sz w:val="20"/>
                <w:szCs w:val="20"/>
              </w:rPr>
              <w:t>Piattaforma di benchmark Public Cloud</w:t>
            </w:r>
          </w:p>
        </w:tc>
        <w:tc>
          <w:tcPr>
            <w:tcW w:w="5831" w:type="dxa"/>
            <w:shd w:val="clear" w:color="auto" w:fill="auto"/>
            <w:vAlign w:val="center"/>
          </w:tcPr>
          <w:p w14:paraId="39A6D5F7" w14:textId="68A6C45F" w:rsidR="00987C0B" w:rsidRPr="00733A0A" w:rsidRDefault="003B3A20" w:rsidP="00FE582E">
            <w:pPr>
              <w:pStyle w:val="microblujustify"/>
              <w:jc w:val="both"/>
              <w:rPr>
                <w:rFonts w:asciiTheme="minorHAnsi" w:hAnsiTheme="minorHAnsi" w:cs="Arial"/>
                <w:bCs/>
                <w:sz w:val="20"/>
                <w:szCs w:val="20"/>
              </w:rPr>
            </w:pPr>
            <w:r>
              <w:rPr>
                <w:rFonts w:asciiTheme="minorHAnsi" w:hAnsiTheme="minorHAnsi" w:cs="Arial"/>
                <w:bCs/>
                <w:sz w:val="20"/>
                <w:szCs w:val="20"/>
              </w:rPr>
              <w:t>S</w:t>
            </w:r>
            <w:r w:rsidR="00987C0B" w:rsidRPr="00987C0B">
              <w:rPr>
                <w:rFonts w:asciiTheme="minorHAnsi" w:hAnsiTheme="minorHAnsi" w:cs="Arial"/>
                <w:bCs/>
                <w:sz w:val="20"/>
                <w:szCs w:val="20"/>
              </w:rPr>
              <w:t>trumenti comparativi on-line interattivi per il benchmark delle caratteristiche tecniche di dettaglio e dei livelli di servizio e configurazione e del pricing di dettaglio dei principali servizi cloud offerti sul mercato (es. AWS, MS Azure, Google, Etc)</w:t>
            </w:r>
          </w:p>
        </w:tc>
        <w:tc>
          <w:tcPr>
            <w:tcW w:w="702" w:type="dxa"/>
            <w:shd w:val="clear" w:color="auto" w:fill="auto"/>
          </w:tcPr>
          <w:p w14:paraId="506B2F36" w14:textId="77777777" w:rsidR="00987C0B" w:rsidRPr="00733A0A" w:rsidRDefault="00987C0B" w:rsidP="00FE582E">
            <w:pPr>
              <w:spacing w:line="360" w:lineRule="auto"/>
              <w:jc w:val="both"/>
              <w:rPr>
                <w:rFonts w:asciiTheme="minorHAnsi" w:hAnsiTheme="minorHAnsi" w:cs="Arial"/>
                <w:bCs/>
                <w:i/>
                <w:sz w:val="20"/>
                <w:szCs w:val="20"/>
                <w:highlight w:val="green"/>
              </w:rPr>
            </w:pPr>
          </w:p>
        </w:tc>
      </w:tr>
      <w:tr w:rsidR="00987C0B" w:rsidRPr="00F55F63" w14:paraId="28113DCE" w14:textId="77777777" w:rsidTr="00FE582E">
        <w:tc>
          <w:tcPr>
            <w:tcW w:w="1246" w:type="dxa"/>
            <w:vMerge/>
            <w:shd w:val="clear" w:color="auto" w:fill="auto"/>
            <w:vAlign w:val="center"/>
          </w:tcPr>
          <w:p w14:paraId="637D7822" w14:textId="77777777" w:rsidR="00987C0B" w:rsidRPr="00733A0A" w:rsidRDefault="00987C0B"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2B71F141" w14:textId="77777777" w:rsidR="003B3A20" w:rsidRDefault="003B3A20" w:rsidP="003B3A20">
            <w:pPr>
              <w:jc w:val="both"/>
              <w:rPr>
                <w:rFonts w:asciiTheme="minorHAnsi" w:hAnsiTheme="minorHAnsi" w:cs="Arial"/>
                <w:sz w:val="20"/>
                <w:szCs w:val="20"/>
              </w:rPr>
            </w:pPr>
            <w:r w:rsidRPr="003B3A20">
              <w:rPr>
                <w:rFonts w:asciiTheme="minorHAnsi" w:hAnsiTheme="minorHAnsi" w:cs="Arial"/>
                <w:sz w:val="20"/>
                <w:szCs w:val="20"/>
              </w:rPr>
              <w:t>Gli strumenti debbono disporre delle seguenti funzioni</w:t>
            </w:r>
            <w:r>
              <w:rPr>
                <w:rFonts w:asciiTheme="minorHAnsi" w:hAnsiTheme="minorHAnsi" w:cs="Arial"/>
                <w:sz w:val="20"/>
                <w:szCs w:val="20"/>
              </w:rPr>
              <w:t xml:space="preserve"> di</w:t>
            </w:r>
            <w:r w:rsidRPr="003B3A20">
              <w:rPr>
                <w:rFonts w:asciiTheme="minorHAnsi" w:hAnsiTheme="minorHAnsi" w:cs="Arial"/>
                <w:sz w:val="20"/>
                <w:szCs w:val="20"/>
              </w:rPr>
              <w:t xml:space="preserve">:  </w:t>
            </w:r>
          </w:p>
          <w:p w14:paraId="4F004E5A" w14:textId="6B1BFAD0" w:rsidR="003B3A20" w:rsidRPr="003B3A20" w:rsidRDefault="003B3A20" w:rsidP="003B3A20">
            <w:pPr>
              <w:jc w:val="both"/>
              <w:rPr>
                <w:rFonts w:asciiTheme="minorHAnsi" w:hAnsiTheme="minorHAnsi" w:cs="Arial"/>
                <w:sz w:val="20"/>
                <w:szCs w:val="20"/>
              </w:rPr>
            </w:pPr>
            <w:r>
              <w:rPr>
                <w:rFonts w:asciiTheme="minorHAnsi" w:hAnsiTheme="minorHAnsi" w:cs="Arial"/>
                <w:sz w:val="20"/>
                <w:szCs w:val="20"/>
              </w:rPr>
              <w:t xml:space="preserve">- </w:t>
            </w:r>
            <w:r w:rsidRPr="003B3A20">
              <w:rPr>
                <w:rFonts w:asciiTheme="minorHAnsi" w:hAnsiTheme="minorHAnsi" w:cs="Arial"/>
                <w:sz w:val="20"/>
                <w:szCs w:val="20"/>
              </w:rPr>
              <w:t>personalizzazione del carico di lavoro;</w:t>
            </w:r>
          </w:p>
          <w:p w14:paraId="4D6F4D0F" w14:textId="5440A4D4" w:rsidR="003B3A20" w:rsidRPr="003B3A20" w:rsidRDefault="003B3A20" w:rsidP="003B3A20">
            <w:pPr>
              <w:jc w:val="both"/>
              <w:rPr>
                <w:rFonts w:asciiTheme="minorHAnsi" w:hAnsiTheme="minorHAnsi" w:cs="Arial"/>
                <w:sz w:val="20"/>
                <w:szCs w:val="20"/>
              </w:rPr>
            </w:pPr>
            <w:r w:rsidRPr="003B3A20">
              <w:rPr>
                <w:rFonts w:asciiTheme="minorHAnsi" w:hAnsiTheme="minorHAnsi" w:cs="Arial"/>
                <w:sz w:val="20"/>
                <w:szCs w:val="20"/>
              </w:rPr>
              <w:t>- drag &amp; drop dei nodi e dei componenti</w:t>
            </w:r>
          </w:p>
          <w:p w14:paraId="41EC2791" w14:textId="453BE3A3" w:rsidR="003B3A20" w:rsidRPr="003B3A20" w:rsidRDefault="003B3A20" w:rsidP="003B3A20">
            <w:pPr>
              <w:jc w:val="both"/>
              <w:rPr>
                <w:rFonts w:asciiTheme="minorHAnsi" w:hAnsiTheme="minorHAnsi" w:cs="Arial"/>
                <w:sz w:val="20"/>
                <w:szCs w:val="20"/>
              </w:rPr>
            </w:pPr>
            <w:r w:rsidRPr="003B3A20">
              <w:rPr>
                <w:rFonts w:asciiTheme="minorHAnsi" w:hAnsiTheme="minorHAnsi" w:cs="Arial"/>
                <w:sz w:val="20"/>
                <w:szCs w:val="20"/>
              </w:rPr>
              <w:t>- comparazione su più cloud provider a livello di configurazione del servizio</w:t>
            </w:r>
            <w:r>
              <w:rPr>
                <w:rFonts w:asciiTheme="minorHAnsi" w:hAnsiTheme="minorHAnsi" w:cs="Arial"/>
                <w:sz w:val="20"/>
                <w:szCs w:val="20"/>
              </w:rPr>
              <w:t>;</w:t>
            </w:r>
          </w:p>
          <w:p w14:paraId="4F0303EC" w14:textId="6B5C940C" w:rsidR="003B3A20" w:rsidRPr="003B3A20" w:rsidRDefault="003B3A20" w:rsidP="003B3A20">
            <w:pPr>
              <w:jc w:val="both"/>
              <w:rPr>
                <w:rFonts w:asciiTheme="minorHAnsi" w:hAnsiTheme="minorHAnsi" w:cs="Arial"/>
                <w:sz w:val="20"/>
                <w:szCs w:val="20"/>
              </w:rPr>
            </w:pPr>
            <w:r w:rsidRPr="003B3A20">
              <w:rPr>
                <w:rFonts w:asciiTheme="minorHAnsi" w:hAnsiTheme="minorHAnsi" w:cs="Arial"/>
                <w:sz w:val="20"/>
                <w:szCs w:val="20"/>
              </w:rPr>
              <w:t>- libreria di pattern di workload predefiniti e libreria storica di confronti</w:t>
            </w:r>
            <w:r>
              <w:rPr>
                <w:rFonts w:asciiTheme="minorHAnsi" w:hAnsiTheme="minorHAnsi" w:cs="Arial"/>
                <w:sz w:val="20"/>
                <w:szCs w:val="20"/>
              </w:rPr>
              <w:t>;</w:t>
            </w:r>
          </w:p>
          <w:p w14:paraId="5F769428" w14:textId="0DF92C81" w:rsidR="00987C0B" w:rsidRPr="003B3A20" w:rsidRDefault="003B3A20" w:rsidP="003B3A20">
            <w:pPr>
              <w:jc w:val="both"/>
              <w:rPr>
                <w:rFonts w:asciiTheme="minorHAnsi" w:hAnsiTheme="minorHAnsi" w:cs="Arial"/>
                <w:sz w:val="20"/>
                <w:szCs w:val="20"/>
              </w:rPr>
            </w:pPr>
            <w:r w:rsidRPr="003B3A20">
              <w:rPr>
                <w:rFonts w:asciiTheme="minorHAnsi" w:hAnsiTheme="minorHAnsi" w:cs="Arial"/>
                <w:sz w:val="20"/>
                <w:szCs w:val="20"/>
              </w:rPr>
              <w:t>- copertura minima dei principali public cloud provider (AWS, Google, Microsoft, IBM, Oracle, Alibaba)</w:t>
            </w:r>
          </w:p>
        </w:tc>
        <w:tc>
          <w:tcPr>
            <w:tcW w:w="702" w:type="dxa"/>
            <w:shd w:val="clear" w:color="auto" w:fill="auto"/>
          </w:tcPr>
          <w:p w14:paraId="631E9A45" w14:textId="77777777" w:rsidR="00987C0B" w:rsidRPr="00F55F63" w:rsidRDefault="00987C0B" w:rsidP="00FE582E">
            <w:pPr>
              <w:spacing w:line="360" w:lineRule="auto"/>
              <w:jc w:val="both"/>
              <w:rPr>
                <w:rFonts w:asciiTheme="minorHAnsi" w:hAnsiTheme="minorHAnsi" w:cs="Arial"/>
                <w:bCs/>
                <w:i/>
                <w:sz w:val="20"/>
                <w:szCs w:val="20"/>
                <w:highlight w:val="green"/>
              </w:rPr>
            </w:pPr>
          </w:p>
        </w:tc>
      </w:tr>
      <w:tr w:rsidR="00987C0B" w:rsidRPr="00F55F63" w14:paraId="17EB2B94" w14:textId="77777777" w:rsidTr="00FE582E">
        <w:tc>
          <w:tcPr>
            <w:tcW w:w="1246" w:type="dxa"/>
            <w:vMerge/>
            <w:shd w:val="clear" w:color="auto" w:fill="auto"/>
            <w:vAlign w:val="center"/>
          </w:tcPr>
          <w:p w14:paraId="387CE187" w14:textId="77777777" w:rsidR="00987C0B" w:rsidRPr="00F55F63" w:rsidRDefault="00987C0B" w:rsidP="00FE582E">
            <w:pPr>
              <w:spacing w:line="360" w:lineRule="auto"/>
              <w:rPr>
                <w:rFonts w:asciiTheme="minorHAnsi" w:hAnsiTheme="minorHAnsi" w:cs="Arial"/>
                <w:bCs/>
                <w:i/>
                <w:sz w:val="20"/>
                <w:szCs w:val="20"/>
                <w:highlight w:val="green"/>
              </w:rPr>
            </w:pPr>
          </w:p>
        </w:tc>
        <w:tc>
          <w:tcPr>
            <w:tcW w:w="5831" w:type="dxa"/>
            <w:shd w:val="clear" w:color="auto" w:fill="auto"/>
            <w:vAlign w:val="center"/>
          </w:tcPr>
          <w:p w14:paraId="29E4BBC8" w14:textId="5157D406" w:rsidR="00987C0B" w:rsidRPr="00F55F63" w:rsidRDefault="003B3A20" w:rsidP="00FE582E">
            <w:pPr>
              <w:pStyle w:val="microblujustify"/>
              <w:spacing w:before="0" w:beforeAutospacing="0" w:after="0" w:afterAutospacing="0"/>
              <w:jc w:val="both"/>
              <w:rPr>
                <w:rFonts w:asciiTheme="minorHAnsi" w:hAnsiTheme="minorHAnsi" w:cs="Arial"/>
                <w:sz w:val="20"/>
                <w:szCs w:val="20"/>
              </w:rPr>
            </w:pPr>
            <w:r w:rsidRPr="003B3A20">
              <w:rPr>
                <w:rFonts w:asciiTheme="minorHAnsi" w:hAnsiTheme="minorHAnsi" w:cs="Arial"/>
                <w:sz w:val="20"/>
                <w:szCs w:val="20"/>
                <w:lang w:val="x-none"/>
              </w:rPr>
              <w:t>Visualizzare, analizzare e confrontare i servizi cloud utilizzando set di dati e metriche, tra cui parametri di riferimento e di performance, dati storici di disponibilità, prezzi, funzionalità e funzionalità</w:t>
            </w:r>
          </w:p>
        </w:tc>
        <w:tc>
          <w:tcPr>
            <w:tcW w:w="702" w:type="dxa"/>
            <w:shd w:val="clear" w:color="auto" w:fill="auto"/>
          </w:tcPr>
          <w:p w14:paraId="4704A2ED" w14:textId="77777777" w:rsidR="00987C0B" w:rsidRPr="00F55F63" w:rsidRDefault="00987C0B" w:rsidP="00FE582E">
            <w:pPr>
              <w:spacing w:line="360" w:lineRule="auto"/>
              <w:jc w:val="both"/>
              <w:rPr>
                <w:rFonts w:asciiTheme="minorHAnsi" w:hAnsiTheme="minorHAnsi" w:cs="Arial"/>
                <w:bCs/>
                <w:i/>
                <w:sz w:val="20"/>
                <w:szCs w:val="20"/>
                <w:highlight w:val="green"/>
              </w:rPr>
            </w:pPr>
          </w:p>
        </w:tc>
      </w:tr>
    </w:tbl>
    <w:p w14:paraId="08B87D5A" w14:textId="495A2306" w:rsidR="00987C0B" w:rsidRDefault="00987C0B">
      <w:pPr>
        <w:spacing w:line="276" w:lineRule="auto"/>
        <w:jc w:val="both"/>
        <w:rPr>
          <w:rFonts w:asciiTheme="minorHAnsi" w:hAnsiTheme="minorHAnsi" w:cs="Arial"/>
          <w:bCs/>
          <w:sz w:val="20"/>
          <w:szCs w:val="20"/>
        </w:rPr>
      </w:pPr>
    </w:p>
    <w:p w14:paraId="64FD878E" w14:textId="6227CFC3" w:rsidR="00FE582E" w:rsidRPr="00A73C80" w:rsidRDefault="00FE582E" w:rsidP="00FE582E">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Pr>
          <w:rFonts w:asciiTheme="minorHAnsi" w:hAnsiTheme="minorHAnsi" w:cs="Arial"/>
          <w:bCs/>
          <w:sz w:val="20"/>
          <w:szCs w:val="20"/>
        </w:rPr>
        <w:t xml:space="preserve">delle esigenze di Sogei, </w:t>
      </w:r>
      <w:r w:rsidRPr="00A73C80">
        <w:rPr>
          <w:rFonts w:asciiTheme="minorHAnsi" w:hAnsiTheme="minorHAnsi" w:cs="Arial"/>
          <w:bCs/>
          <w:sz w:val="20"/>
          <w:szCs w:val="20"/>
        </w:rPr>
        <w:t xml:space="preserve">l’Azienda è in grado di </w:t>
      </w:r>
      <w:r>
        <w:rPr>
          <w:rFonts w:asciiTheme="minorHAnsi" w:hAnsiTheme="minorHAnsi" w:cs="Arial"/>
          <w:bCs/>
          <w:sz w:val="20"/>
          <w:szCs w:val="20"/>
        </w:rPr>
        <w:t>predisporre, sempre all’interno della Ricerca ICT del portale, metriche di benchmark, costi e prezzi</w:t>
      </w:r>
      <w:r w:rsidRPr="00482645">
        <w:rPr>
          <w:rFonts w:asciiTheme="minorHAnsi" w:hAnsiTheme="minorHAnsi" w:cs="Arial"/>
          <w:bCs/>
          <w:sz w:val="20"/>
          <w:szCs w:val="20"/>
        </w:rPr>
        <w:t xml:space="preserve"> con le caratteristiche</w:t>
      </w:r>
      <w:r>
        <w:rPr>
          <w:rFonts w:asciiTheme="minorHAnsi" w:hAnsiTheme="minorHAnsi" w:cs="Arial"/>
          <w:bCs/>
          <w:sz w:val="20"/>
          <w:szCs w:val="20"/>
        </w:rPr>
        <w:t xml:space="preserve"> indicate sotto</w:t>
      </w:r>
      <w:r w:rsidRPr="00A73C80">
        <w:rPr>
          <w:rFonts w:asciiTheme="minorHAnsi" w:hAnsiTheme="minorHAnsi" w:cs="Arial"/>
          <w:bCs/>
          <w:sz w:val="20"/>
          <w:szCs w:val="20"/>
        </w:rPr>
        <w:t xml:space="preserve"> </w:t>
      </w:r>
      <w:r>
        <w:rPr>
          <w:rFonts w:asciiTheme="minorHAnsi" w:hAnsiTheme="minorHAnsi" w:cs="Arial"/>
          <w:bCs/>
          <w:sz w:val="20"/>
          <w:szCs w:val="20"/>
        </w:rPr>
        <w:t>?</w:t>
      </w:r>
      <w:r w:rsidR="00CC50D1">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645BFBDD" w14:textId="77777777" w:rsidR="00306930" w:rsidRPr="00002057" w:rsidRDefault="00306930" w:rsidP="00306930">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831"/>
        <w:gridCol w:w="702"/>
      </w:tblGrid>
      <w:tr w:rsidR="00D144AD" w:rsidRPr="00F55F63" w14:paraId="3A97B20C" w14:textId="77777777" w:rsidTr="00C65594">
        <w:tc>
          <w:tcPr>
            <w:tcW w:w="1246" w:type="dxa"/>
            <w:tcBorders>
              <w:top w:val="nil"/>
              <w:left w:val="nil"/>
              <w:bottom w:val="single" w:sz="4" w:space="0" w:color="auto"/>
              <w:right w:val="nil"/>
            </w:tcBorders>
            <w:shd w:val="clear" w:color="auto" w:fill="auto"/>
            <w:vAlign w:val="center"/>
          </w:tcPr>
          <w:p w14:paraId="479B1ECC" w14:textId="77777777" w:rsidR="00D144AD" w:rsidRPr="00F06EAE" w:rsidRDefault="00D144AD" w:rsidP="00C65594">
            <w:pPr>
              <w:spacing w:line="360" w:lineRule="auto"/>
              <w:rPr>
                <w:rFonts w:asciiTheme="minorHAnsi" w:hAnsiTheme="minorHAnsi" w:cs="Arial"/>
                <w:b/>
                <w:sz w:val="20"/>
                <w:szCs w:val="20"/>
              </w:rPr>
            </w:pPr>
          </w:p>
        </w:tc>
        <w:tc>
          <w:tcPr>
            <w:tcW w:w="5831" w:type="dxa"/>
            <w:tcBorders>
              <w:top w:val="nil"/>
              <w:left w:val="nil"/>
              <w:bottom w:val="single" w:sz="4" w:space="0" w:color="auto"/>
              <w:right w:val="single" w:sz="4" w:space="0" w:color="auto"/>
            </w:tcBorders>
            <w:shd w:val="clear" w:color="auto" w:fill="auto"/>
            <w:vAlign w:val="center"/>
          </w:tcPr>
          <w:p w14:paraId="24F9588B" w14:textId="77777777" w:rsidR="00D144AD" w:rsidRPr="00F55F63" w:rsidRDefault="00D144AD" w:rsidP="00C65594">
            <w:pPr>
              <w:jc w:val="both"/>
              <w:rPr>
                <w:rFonts w:asciiTheme="minorHAnsi" w:hAnsiTheme="minorHAnsi" w:cs="Arial"/>
                <w:sz w:val="20"/>
                <w:szCs w:val="20"/>
              </w:rPr>
            </w:pPr>
          </w:p>
        </w:tc>
        <w:tc>
          <w:tcPr>
            <w:tcW w:w="702" w:type="dxa"/>
            <w:tcBorders>
              <w:left w:val="single" w:sz="4" w:space="0" w:color="auto"/>
            </w:tcBorders>
            <w:shd w:val="clear" w:color="auto" w:fill="auto"/>
          </w:tcPr>
          <w:p w14:paraId="0CC69D92" w14:textId="77777777" w:rsidR="00D144AD" w:rsidRPr="004A6BE5" w:rsidRDefault="00D144AD" w:rsidP="00C65594">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332B30" w:rsidRPr="00733A0A" w14:paraId="61228691" w14:textId="77777777" w:rsidTr="00C65594">
        <w:tc>
          <w:tcPr>
            <w:tcW w:w="1246" w:type="dxa"/>
            <w:vMerge w:val="restart"/>
            <w:shd w:val="clear" w:color="auto" w:fill="auto"/>
            <w:vAlign w:val="center"/>
          </w:tcPr>
          <w:p w14:paraId="68963F30" w14:textId="793655D8" w:rsidR="00332B30" w:rsidRPr="00F55F63" w:rsidRDefault="00332B30" w:rsidP="00332B30">
            <w:pPr>
              <w:spacing w:line="360" w:lineRule="auto"/>
              <w:rPr>
                <w:rFonts w:asciiTheme="minorHAnsi" w:hAnsiTheme="minorHAnsi" w:cs="Arial"/>
                <w:bCs/>
                <w:i/>
                <w:sz w:val="20"/>
                <w:szCs w:val="20"/>
                <w:highlight w:val="green"/>
              </w:rPr>
            </w:pPr>
            <w:r>
              <w:rPr>
                <w:rFonts w:asciiTheme="minorHAnsi" w:hAnsiTheme="minorHAnsi" w:cs="Arial"/>
                <w:b/>
                <w:sz w:val="20"/>
                <w:szCs w:val="20"/>
              </w:rPr>
              <w:t xml:space="preserve">Metriche di benchmark </w:t>
            </w:r>
            <w:r>
              <w:rPr>
                <w:rFonts w:asciiTheme="minorHAnsi" w:hAnsiTheme="minorHAnsi" w:cs="Arial"/>
                <w:b/>
                <w:sz w:val="20"/>
                <w:szCs w:val="20"/>
              </w:rPr>
              <w:lastRenderedPageBreak/>
              <w:t>costi e prezzi</w:t>
            </w:r>
          </w:p>
        </w:tc>
        <w:tc>
          <w:tcPr>
            <w:tcW w:w="5831" w:type="dxa"/>
            <w:shd w:val="clear" w:color="auto" w:fill="auto"/>
            <w:vAlign w:val="center"/>
          </w:tcPr>
          <w:p w14:paraId="6703038E" w14:textId="4BF930C0" w:rsidR="00332B30" w:rsidRPr="00733A0A" w:rsidRDefault="00332B30" w:rsidP="00C65594">
            <w:pPr>
              <w:pStyle w:val="microblujustify"/>
              <w:jc w:val="both"/>
              <w:rPr>
                <w:rFonts w:asciiTheme="minorHAnsi" w:hAnsiTheme="minorHAnsi" w:cs="Arial"/>
                <w:bCs/>
                <w:sz w:val="20"/>
                <w:szCs w:val="20"/>
              </w:rPr>
            </w:pPr>
            <w:r w:rsidRPr="00851EDE">
              <w:rPr>
                <w:rFonts w:asciiTheme="minorHAnsi" w:hAnsiTheme="minorHAnsi" w:cs="Arial"/>
                <w:bCs/>
                <w:sz w:val="20"/>
                <w:szCs w:val="20"/>
              </w:rPr>
              <w:lastRenderedPageBreak/>
              <w:t>Accesso a metriche di prezzo e benchmark per il confronto tra prezzi di mercato sia a livello nazionale sia internazionale sui costi di conduzione dei servizi IT (gestione server, sviluppo applicativo, call center, help desk, etc.</w:t>
            </w:r>
            <w:r>
              <w:rPr>
                <w:rFonts w:asciiTheme="minorHAnsi" w:hAnsiTheme="minorHAnsi" w:cs="Arial"/>
                <w:bCs/>
                <w:sz w:val="20"/>
                <w:szCs w:val="20"/>
              </w:rPr>
              <w:t>)</w:t>
            </w:r>
          </w:p>
        </w:tc>
        <w:tc>
          <w:tcPr>
            <w:tcW w:w="702" w:type="dxa"/>
            <w:shd w:val="clear" w:color="auto" w:fill="auto"/>
          </w:tcPr>
          <w:p w14:paraId="79AC46BC" w14:textId="77777777" w:rsidR="00332B30" w:rsidRPr="00733A0A" w:rsidRDefault="00332B30" w:rsidP="00C65594">
            <w:pPr>
              <w:spacing w:line="360" w:lineRule="auto"/>
              <w:jc w:val="both"/>
              <w:rPr>
                <w:rFonts w:asciiTheme="minorHAnsi" w:hAnsiTheme="minorHAnsi" w:cs="Arial"/>
                <w:bCs/>
                <w:i/>
                <w:sz w:val="20"/>
                <w:szCs w:val="20"/>
                <w:highlight w:val="green"/>
              </w:rPr>
            </w:pPr>
          </w:p>
        </w:tc>
      </w:tr>
      <w:tr w:rsidR="00332B30" w:rsidRPr="00F55F63" w14:paraId="04ACACD1" w14:textId="77777777" w:rsidTr="00C65594">
        <w:tc>
          <w:tcPr>
            <w:tcW w:w="1246" w:type="dxa"/>
            <w:vMerge/>
            <w:shd w:val="clear" w:color="auto" w:fill="auto"/>
            <w:vAlign w:val="center"/>
          </w:tcPr>
          <w:p w14:paraId="049154A7" w14:textId="77777777" w:rsidR="00332B30" w:rsidRPr="00733A0A" w:rsidRDefault="00332B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3C3F6C85" w14:textId="7C9CFFD5" w:rsidR="00332B30" w:rsidRPr="003B3A20" w:rsidRDefault="00332B30" w:rsidP="00C65594">
            <w:pPr>
              <w:jc w:val="both"/>
              <w:rPr>
                <w:rFonts w:asciiTheme="minorHAnsi" w:hAnsiTheme="minorHAnsi" w:cs="Arial"/>
                <w:sz w:val="20"/>
                <w:szCs w:val="20"/>
              </w:rPr>
            </w:pPr>
            <w:r w:rsidRPr="00851EDE">
              <w:rPr>
                <w:rFonts w:asciiTheme="minorHAnsi" w:hAnsiTheme="minorHAnsi" w:cs="Arial"/>
                <w:sz w:val="20"/>
                <w:szCs w:val="20"/>
              </w:rPr>
              <w:t>Metriche di budget IT, metriche di TCO per linea di servizio derivate da benchmark eseguiti su una base di clienti distribuita a livello internazionale e nazionale (italiana).</w:t>
            </w:r>
          </w:p>
        </w:tc>
        <w:tc>
          <w:tcPr>
            <w:tcW w:w="702" w:type="dxa"/>
            <w:shd w:val="clear" w:color="auto" w:fill="auto"/>
          </w:tcPr>
          <w:p w14:paraId="6832ECA0" w14:textId="77777777" w:rsidR="00332B30" w:rsidRPr="00F55F63" w:rsidRDefault="00332B30" w:rsidP="00C65594">
            <w:pPr>
              <w:spacing w:line="360" w:lineRule="auto"/>
              <w:jc w:val="both"/>
              <w:rPr>
                <w:rFonts w:asciiTheme="minorHAnsi" w:hAnsiTheme="minorHAnsi" w:cs="Arial"/>
                <w:bCs/>
                <w:i/>
                <w:sz w:val="20"/>
                <w:szCs w:val="20"/>
                <w:highlight w:val="green"/>
              </w:rPr>
            </w:pPr>
          </w:p>
        </w:tc>
      </w:tr>
      <w:tr w:rsidR="00332B30" w:rsidRPr="00F55F63" w14:paraId="796BDD3A" w14:textId="77777777" w:rsidTr="00C65594">
        <w:tc>
          <w:tcPr>
            <w:tcW w:w="1246" w:type="dxa"/>
            <w:vMerge/>
            <w:shd w:val="clear" w:color="auto" w:fill="auto"/>
            <w:vAlign w:val="center"/>
          </w:tcPr>
          <w:p w14:paraId="6F6E769C" w14:textId="77777777" w:rsidR="00332B30" w:rsidRPr="00F55F63" w:rsidRDefault="00332B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7BC930B6" w14:textId="6464DC82" w:rsidR="00332B30" w:rsidRPr="00851EDE" w:rsidRDefault="00332B30" w:rsidP="00851EDE">
            <w:pPr>
              <w:pStyle w:val="microblujustify"/>
              <w:jc w:val="both"/>
              <w:rPr>
                <w:rFonts w:asciiTheme="minorHAnsi" w:hAnsiTheme="minorHAnsi" w:cs="Arial"/>
                <w:sz w:val="20"/>
                <w:szCs w:val="20"/>
                <w:lang w:val="x-none"/>
              </w:rPr>
            </w:pPr>
            <w:r>
              <w:rPr>
                <w:rFonts w:asciiTheme="minorHAnsi" w:hAnsiTheme="minorHAnsi" w:cs="Arial"/>
                <w:sz w:val="20"/>
                <w:szCs w:val="20"/>
              </w:rPr>
              <w:t>M</w:t>
            </w:r>
            <w:r w:rsidRPr="00851EDE">
              <w:rPr>
                <w:rFonts w:asciiTheme="minorHAnsi" w:hAnsiTheme="minorHAnsi" w:cs="Arial"/>
                <w:sz w:val="20"/>
                <w:szCs w:val="20"/>
                <w:lang w:val="x-none"/>
              </w:rPr>
              <w:t>etriche di confronto tariffe professionali a livello nazionale ed internazionale, articolate per linee di servizio (es. sviluppo, servizi supporto, servizi infrastrutturali, etc.) e almeno 5 livelli di seniority definiti secondo un modello standar</w:t>
            </w:r>
            <w:r>
              <w:rPr>
                <w:rFonts w:asciiTheme="minorHAnsi" w:hAnsiTheme="minorHAnsi" w:cs="Arial"/>
                <w:sz w:val="20"/>
                <w:szCs w:val="20"/>
                <w:lang w:val="x-none"/>
              </w:rPr>
              <w:t>d</w:t>
            </w:r>
          </w:p>
        </w:tc>
        <w:tc>
          <w:tcPr>
            <w:tcW w:w="702" w:type="dxa"/>
            <w:shd w:val="clear" w:color="auto" w:fill="auto"/>
          </w:tcPr>
          <w:p w14:paraId="705EA1A3" w14:textId="77777777" w:rsidR="00332B30" w:rsidRPr="00F55F63" w:rsidRDefault="00332B30" w:rsidP="00C65594">
            <w:pPr>
              <w:spacing w:line="360" w:lineRule="auto"/>
              <w:jc w:val="both"/>
              <w:rPr>
                <w:rFonts w:asciiTheme="minorHAnsi" w:hAnsiTheme="minorHAnsi" w:cs="Arial"/>
                <w:bCs/>
                <w:i/>
                <w:sz w:val="20"/>
                <w:szCs w:val="20"/>
                <w:highlight w:val="green"/>
              </w:rPr>
            </w:pPr>
          </w:p>
        </w:tc>
      </w:tr>
      <w:tr w:rsidR="00332B30" w:rsidRPr="00F55F63" w14:paraId="53F4D84D" w14:textId="77777777" w:rsidTr="00C65594">
        <w:tc>
          <w:tcPr>
            <w:tcW w:w="1246" w:type="dxa"/>
            <w:vMerge/>
            <w:shd w:val="clear" w:color="auto" w:fill="auto"/>
            <w:vAlign w:val="center"/>
          </w:tcPr>
          <w:p w14:paraId="74936677" w14:textId="77777777" w:rsidR="00332B30" w:rsidRPr="00F55F63" w:rsidRDefault="00332B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55CEE1C9" w14:textId="51B0B5E4" w:rsidR="00332B30" w:rsidRDefault="00332B30" w:rsidP="00851EDE">
            <w:pPr>
              <w:pStyle w:val="microblujustify"/>
              <w:jc w:val="both"/>
              <w:rPr>
                <w:rFonts w:asciiTheme="minorHAnsi" w:hAnsiTheme="minorHAnsi" w:cs="Arial"/>
                <w:sz w:val="20"/>
                <w:szCs w:val="20"/>
              </w:rPr>
            </w:pPr>
            <w:r w:rsidRPr="00851EDE">
              <w:rPr>
                <w:rFonts w:asciiTheme="minorHAnsi" w:hAnsiTheme="minorHAnsi" w:cs="Arial"/>
                <w:sz w:val="20"/>
                <w:szCs w:val="20"/>
                <w:lang w:val="x-none"/>
              </w:rPr>
              <w:t xml:space="preserve">La ricerca deve contenere almeno 3.000 metriche </w:t>
            </w:r>
            <w:r>
              <w:rPr>
                <w:rFonts w:asciiTheme="minorHAnsi" w:hAnsiTheme="minorHAnsi" w:cs="Arial"/>
                <w:sz w:val="20"/>
                <w:szCs w:val="20"/>
              </w:rPr>
              <w:t xml:space="preserve">ICT </w:t>
            </w:r>
            <w:r w:rsidRPr="00851EDE">
              <w:rPr>
                <w:rFonts w:asciiTheme="minorHAnsi" w:hAnsiTheme="minorHAnsi" w:cs="Arial"/>
                <w:sz w:val="20"/>
                <w:szCs w:val="20"/>
                <w:lang w:val="x-none"/>
              </w:rPr>
              <w:t xml:space="preserve">e poter dare una vista su diversi </w:t>
            </w:r>
            <w:r>
              <w:rPr>
                <w:rFonts w:asciiTheme="minorHAnsi" w:hAnsiTheme="minorHAnsi" w:cs="Arial"/>
                <w:sz w:val="20"/>
                <w:szCs w:val="20"/>
              </w:rPr>
              <w:t>settori di mercato (</w:t>
            </w:r>
            <w:r w:rsidRPr="00851EDE">
              <w:rPr>
                <w:rFonts w:asciiTheme="minorHAnsi" w:hAnsiTheme="minorHAnsi" w:cs="Arial"/>
                <w:sz w:val="20"/>
                <w:szCs w:val="20"/>
                <w:lang w:val="x-none"/>
              </w:rPr>
              <w:t>tra cui quella della Pubblica Amministrazione</w:t>
            </w:r>
            <w:r>
              <w:rPr>
                <w:rFonts w:asciiTheme="minorHAnsi" w:hAnsiTheme="minorHAnsi" w:cs="Arial"/>
                <w:sz w:val="20"/>
                <w:szCs w:val="20"/>
              </w:rPr>
              <w:t>)</w:t>
            </w:r>
            <w:r w:rsidRPr="00851EDE">
              <w:rPr>
                <w:rFonts w:asciiTheme="minorHAnsi" w:hAnsiTheme="minorHAnsi" w:cs="Arial"/>
                <w:sz w:val="20"/>
                <w:szCs w:val="20"/>
                <w:lang w:val="x-none"/>
              </w:rPr>
              <w:t xml:space="preserve"> e deve essere basata su dati presi da interazioni annuali con almeno 4.000 tra CIO e IT Executives</w:t>
            </w:r>
          </w:p>
        </w:tc>
        <w:tc>
          <w:tcPr>
            <w:tcW w:w="702" w:type="dxa"/>
            <w:shd w:val="clear" w:color="auto" w:fill="auto"/>
          </w:tcPr>
          <w:p w14:paraId="7CB8ADEA" w14:textId="77777777" w:rsidR="00332B30" w:rsidRPr="00F55F63" w:rsidRDefault="00332B30" w:rsidP="00C65594">
            <w:pPr>
              <w:spacing w:line="360" w:lineRule="auto"/>
              <w:jc w:val="both"/>
              <w:rPr>
                <w:rFonts w:asciiTheme="minorHAnsi" w:hAnsiTheme="minorHAnsi" w:cs="Arial"/>
                <w:bCs/>
                <w:i/>
                <w:sz w:val="20"/>
                <w:szCs w:val="20"/>
                <w:highlight w:val="green"/>
              </w:rPr>
            </w:pPr>
          </w:p>
        </w:tc>
      </w:tr>
    </w:tbl>
    <w:p w14:paraId="2EF66131" w14:textId="77F26E76" w:rsidR="00987C0B" w:rsidRDefault="00987C0B">
      <w:pPr>
        <w:spacing w:line="276" w:lineRule="auto"/>
        <w:jc w:val="both"/>
        <w:rPr>
          <w:rFonts w:asciiTheme="minorHAnsi" w:hAnsiTheme="minorHAnsi" w:cs="Arial"/>
          <w:bCs/>
          <w:sz w:val="20"/>
          <w:szCs w:val="20"/>
        </w:rPr>
      </w:pPr>
    </w:p>
    <w:p w14:paraId="523A5CDF" w14:textId="26E11BF5" w:rsidR="00306930" w:rsidRPr="00A73C80" w:rsidRDefault="00306930" w:rsidP="009C3388">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Pr>
          <w:rFonts w:asciiTheme="minorHAnsi" w:hAnsiTheme="minorHAnsi" w:cs="Arial"/>
          <w:bCs/>
          <w:sz w:val="20"/>
          <w:szCs w:val="20"/>
        </w:rPr>
        <w:t xml:space="preserve">delle esigenze di Sogei, </w:t>
      </w:r>
      <w:r w:rsidRPr="00A73C80">
        <w:rPr>
          <w:rFonts w:asciiTheme="minorHAnsi" w:hAnsiTheme="minorHAnsi" w:cs="Arial"/>
          <w:bCs/>
          <w:sz w:val="20"/>
          <w:szCs w:val="20"/>
        </w:rPr>
        <w:t xml:space="preserve">l’Azienda è in grado di </w:t>
      </w:r>
      <w:r>
        <w:rPr>
          <w:rFonts w:asciiTheme="minorHAnsi" w:hAnsiTheme="minorHAnsi" w:cs="Arial"/>
          <w:bCs/>
          <w:sz w:val="20"/>
          <w:szCs w:val="20"/>
        </w:rPr>
        <w:t xml:space="preserve">predisporre, sempre all’interno della Ricerca ICT del portale, </w:t>
      </w:r>
      <w:r w:rsidR="009C3388">
        <w:rPr>
          <w:rFonts w:asciiTheme="minorHAnsi" w:hAnsiTheme="minorHAnsi" w:cs="Arial"/>
          <w:bCs/>
          <w:sz w:val="20"/>
          <w:szCs w:val="20"/>
        </w:rPr>
        <w:t xml:space="preserve">uno strumento di self assessment </w:t>
      </w:r>
      <w:r w:rsidR="009C3388" w:rsidRPr="009C3388">
        <w:rPr>
          <w:rFonts w:asciiTheme="minorHAnsi" w:hAnsiTheme="minorHAnsi" w:cs="Arial"/>
          <w:bCs/>
          <w:sz w:val="20"/>
          <w:szCs w:val="20"/>
        </w:rPr>
        <w:t>con cui poter oggettivamente misurare, comparare con altre organizzazioni della Pubblica Amministrazione</w:t>
      </w:r>
      <w:r w:rsidR="009C3388">
        <w:rPr>
          <w:rFonts w:asciiTheme="minorHAnsi" w:hAnsiTheme="minorHAnsi" w:cs="Arial"/>
          <w:bCs/>
          <w:sz w:val="20"/>
          <w:szCs w:val="20"/>
        </w:rPr>
        <w:t xml:space="preserve"> lo </w:t>
      </w:r>
      <w:r w:rsidR="009C3388" w:rsidRPr="009C3388">
        <w:rPr>
          <w:rFonts w:asciiTheme="minorHAnsi" w:hAnsiTheme="minorHAnsi" w:cs="Arial"/>
          <w:bCs/>
          <w:sz w:val="20"/>
          <w:szCs w:val="20"/>
        </w:rPr>
        <w:t>stato della trasformazione digitale</w:t>
      </w:r>
      <w:r w:rsidR="009C3388">
        <w:rPr>
          <w:rFonts w:asciiTheme="minorHAnsi" w:hAnsiTheme="minorHAnsi" w:cs="Arial"/>
          <w:bCs/>
          <w:sz w:val="20"/>
          <w:szCs w:val="20"/>
        </w:rPr>
        <w:t xml:space="preserve"> </w:t>
      </w:r>
      <w:r w:rsidR="009C3388" w:rsidRPr="00482645">
        <w:rPr>
          <w:rFonts w:asciiTheme="minorHAnsi" w:hAnsiTheme="minorHAnsi" w:cs="Arial"/>
          <w:bCs/>
          <w:sz w:val="20"/>
          <w:szCs w:val="20"/>
        </w:rPr>
        <w:t>con le caratteristiche</w:t>
      </w:r>
      <w:r w:rsidR="009C3388">
        <w:rPr>
          <w:rFonts w:asciiTheme="minorHAnsi" w:hAnsiTheme="minorHAnsi" w:cs="Arial"/>
          <w:bCs/>
          <w:sz w:val="20"/>
          <w:szCs w:val="20"/>
        </w:rPr>
        <w:t xml:space="preserve"> indicate sotto ?</w:t>
      </w:r>
      <w:r w:rsidR="009C3388" w:rsidRPr="009C3388">
        <w:rPr>
          <w:rFonts w:asciiTheme="minorHAnsi" w:hAnsiTheme="minorHAnsi" w:cs="Arial"/>
          <w:bCs/>
          <w:sz w:val="20"/>
          <w:szCs w:val="20"/>
        </w:rPr>
        <w:t xml:space="preserve"> </w:t>
      </w:r>
      <w:r w:rsidR="00CC50D1" w:rsidRPr="00495574">
        <w:rPr>
          <w:rFonts w:asciiTheme="minorHAnsi" w:hAnsiTheme="minorHAnsi" w:cs="Arial"/>
          <w:bCs/>
          <w:sz w:val="20"/>
          <w:szCs w:val="20"/>
        </w:rPr>
        <w:t>Qualora la ricerca indicata non s</w:t>
      </w:r>
      <w:r w:rsidR="00CC50D1">
        <w:rPr>
          <w:rFonts w:asciiTheme="minorHAnsi" w:hAnsiTheme="minorHAnsi" w:cs="Arial"/>
          <w:bCs/>
          <w:sz w:val="20"/>
          <w:szCs w:val="20"/>
        </w:rPr>
        <w:t>ia disponibile, indicare “N.D.”</w:t>
      </w:r>
    </w:p>
    <w:p w14:paraId="55122DBC" w14:textId="77777777" w:rsidR="00306930" w:rsidRPr="00002057" w:rsidRDefault="00306930" w:rsidP="00306930">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831"/>
        <w:gridCol w:w="702"/>
      </w:tblGrid>
      <w:tr w:rsidR="00306930" w:rsidRPr="00F55F63" w14:paraId="25080373" w14:textId="77777777" w:rsidTr="00C65594">
        <w:tc>
          <w:tcPr>
            <w:tcW w:w="1246" w:type="dxa"/>
            <w:tcBorders>
              <w:top w:val="nil"/>
              <w:left w:val="nil"/>
              <w:bottom w:val="single" w:sz="4" w:space="0" w:color="auto"/>
              <w:right w:val="nil"/>
            </w:tcBorders>
            <w:shd w:val="clear" w:color="auto" w:fill="auto"/>
            <w:vAlign w:val="center"/>
          </w:tcPr>
          <w:p w14:paraId="33180965" w14:textId="77777777" w:rsidR="00306930" w:rsidRPr="00F06EAE" w:rsidRDefault="00306930" w:rsidP="00C65594">
            <w:pPr>
              <w:spacing w:line="360" w:lineRule="auto"/>
              <w:rPr>
                <w:rFonts w:asciiTheme="minorHAnsi" w:hAnsiTheme="minorHAnsi" w:cs="Arial"/>
                <w:b/>
                <w:sz w:val="20"/>
                <w:szCs w:val="20"/>
              </w:rPr>
            </w:pPr>
          </w:p>
        </w:tc>
        <w:tc>
          <w:tcPr>
            <w:tcW w:w="5831" w:type="dxa"/>
            <w:tcBorders>
              <w:top w:val="nil"/>
              <w:left w:val="nil"/>
              <w:bottom w:val="single" w:sz="4" w:space="0" w:color="auto"/>
              <w:right w:val="single" w:sz="4" w:space="0" w:color="auto"/>
            </w:tcBorders>
            <w:shd w:val="clear" w:color="auto" w:fill="auto"/>
            <w:vAlign w:val="center"/>
          </w:tcPr>
          <w:p w14:paraId="3C2D38C4" w14:textId="77777777" w:rsidR="00306930" w:rsidRPr="00F55F63" w:rsidRDefault="00306930" w:rsidP="00C65594">
            <w:pPr>
              <w:jc w:val="both"/>
              <w:rPr>
                <w:rFonts w:asciiTheme="minorHAnsi" w:hAnsiTheme="minorHAnsi" w:cs="Arial"/>
                <w:sz w:val="20"/>
                <w:szCs w:val="20"/>
              </w:rPr>
            </w:pPr>
          </w:p>
        </w:tc>
        <w:tc>
          <w:tcPr>
            <w:tcW w:w="702" w:type="dxa"/>
            <w:tcBorders>
              <w:left w:val="single" w:sz="4" w:space="0" w:color="auto"/>
            </w:tcBorders>
            <w:shd w:val="clear" w:color="auto" w:fill="auto"/>
          </w:tcPr>
          <w:p w14:paraId="2DE77F36" w14:textId="77777777" w:rsidR="00306930" w:rsidRPr="004A6BE5" w:rsidRDefault="00306930" w:rsidP="00C65594">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306930" w:rsidRPr="00733A0A" w14:paraId="7CA91C74" w14:textId="77777777" w:rsidTr="00C65594">
        <w:tc>
          <w:tcPr>
            <w:tcW w:w="1246" w:type="dxa"/>
            <w:vMerge w:val="restart"/>
            <w:shd w:val="clear" w:color="auto" w:fill="auto"/>
            <w:vAlign w:val="center"/>
          </w:tcPr>
          <w:p w14:paraId="3F791B88" w14:textId="5666C6A3" w:rsidR="00306930" w:rsidRPr="00F55F63" w:rsidRDefault="00AB70E2" w:rsidP="00C65594">
            <w:pPr>
              <w:spacing w:line="360" w:lineRule="auto"/>
              <w:rPr>
                <w:rFonts w:asciiTheme="minorHAnsi" w:hAnsiTheme="minorHAnsi" w:cs="Arial"/>
                <w:bCs/>
                <w:i/>
                <w:sz w:val="20"/>
                <w:szCs w:val="20"/>
                <w:highlight w:val="green"/>
              </w:rPr>
            </w:pPr>
            <w:r>
              <w:rPr>
                <w:rFonts w:asciiTheme="minorHAnsi" w:hAnsiTheme="minorHAnsi" w:cs="Arial"/>
                <w:b/>
                <w:sz w:val="20"/>
                <w:szCs w:val="20"/>
              </w:rPr>
              <w:t>Strumento di self assessment</w:t>
            </w:r>
          </w:p>
        </w:tc>
        <w:tc>
          <w:tcPr>
            <w:tcW w:w="5831" w:type="dxa"/>
            <w:shd w:val="clear" w:color="auto" w:fill="auto"/>
            <w:vAlign w:val="center"/>
          </w:tcPr>
          <w:p w14:paraId="2422188F" w14:textId="6CE3D2E5" w:rsidR="00306930" w:rsidRPr="00733A0A" w:rsidRDefault="00AB70E2" w:rsidP="00AB70E2">
            <w:pPr>
              <w:pStyle w:val="microblujustify"/>
              <w:jc w:val="both"/>
              <w:rPr>
                <w:rFonts w:asciiTheme="minorHAnsi" w:hAnsiTheme="minorHAnsi" w:cs="Arial"/>
                <w:bCs/>
                <w:sz w:val="20"/>
                <w:szCs w:val="20"/>
              </w:rPr>
            </w:pPr>
            <w:r>
              <w:rPr>
                <w:rFonts w:asciiTheme="minorHAnsi" w:hAnsiTheme="minorHAnsi" w:cs="Arial"/>
                <w:bCs/>
                <w:sz w:val="20"/>
                <w:szCs w:val="20"/>
              </w:rPr>
              <w:t>Strumento di s</w:t>
            </w:r>
            <w:r w:rsidR="009F5798" w:rsidRPr="009F5798">
              <w:rPr>
                <w:rFonts w:asciiTheme="minorHAnsi" w:hAnsiTheme="minorHAnsi" w:cs="Arial"/>
                <w:bCs/>
                <w:sz w:val="20"/>
                <w:szCs w:val="20"/>
              </w:rPr>
              <w:t>elf-assessment via web sullo stato della trasformazione digitale di Sogei</w:t>
            </w:r>
          </w:p>
        </w:tc>
        <w:tc>
          <w:tcPr>
            <w:tcW w:w="702" w:type="dxa"/>
            <w:shd w:val="clear" w:color="auto" w:fill="auto"/>
          </w:tcPr>
          <w:p w14:paraId="4B14EBDB"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F55F63" w14:paraId="24F8DFAA" w14:textId="77777777" w:rsidTr="00C65594">
        <w:tc>
          <w:tcPr>
            <w:tcW w:w="1246" w:type="dxa"/>
            <w:vMerge/>
            <w:shd w:val="clear" w:color="auto" w:fill="auto"/>
            <w:vAlign w:val="center"/>
          </w:tcPr>
          <w:p w14:paraId="7EB57D8E"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139EB4B0" w14:textId="44064596" w:rsidR="00306930" w:rsidRPr="0060684F" w:rsidRDefault="009F5798" w:rsidP="009F5798">
            <w:pPr>
              <w:pStyle w:val="microblujustify"/>
              <w:spacing w:before="0" w:beforeAutospacing="0" w:after="0" w:afterAutospacing="0"/>
              <w:jc w:val="both"/>
              <w:rPr>
                <w:rFonts w:asciiTheme="minorHAnsi" w:hAnsiTheme="minorHAnsi" w:cs="Arial"/>
                <w:sz w:val="20"/>
                <w:szCs w:val="20"/>
              </w:rPr>
            </w:pPr>
            <w:r>
              <w:rPr>
                <w:rFonts w:asciiTheme="minorHAnsi" w:hAnsiTheme="minorHAnsi" w:cs="Arial"/>
                <w:bCs/>
                <w:sz w:val="20"/>
                <w:szCs w:val="20"/>
              </w:rPr>
              <w:t xml:space="preserve">Individuazione di una </w:t>
            </w:r>
            <w:r w:rsidRPr="009F5798">
              <w:rPr>
                <w:rFonts w:asciiTheme="minorHAnsi" w:hAnsiTheme="minorHAnsi" w:cs="Arial"/>
                <w:bCs/>
                <w:sz w:val="20"/>
                <w:szCs w:val="20"/>
              </w:rPr>
              <w:t>serie di KPI</w:t>
            </w:r>
            <w:r>
              <w:rPr>
                <w:rFonts w:asciiTheme="minorHAnsi" w:hAnsiTheme="minorHAnsi" w:cs="Arial"/>
                <w:bCs/>
                <w:sz w:val="20"/>
                <w:szCs w:val="20"/>
              </w:rPr>
              <w:t xml:space="preserve"> </w:t>
            </w:r>
            <w:r w:rsidR="008B6161">
              <w:rPr>
                <w:rFonts w:asciiTheme="minorHAnsi" w:hAnsiTheme="minorHAnsi" w:cs="Arial"/>
                <w:bCs/>
                <w:sz w:val="20"/>
                <w:szCs w:val="20"/>
              </w:rPr>
              <w:t xml:space="preserve">(di seguito elencati) </w:t>
            </w:r>
            <w:r>
              <w:rPr>
                <w:rFonts w:asciiTheme="minorHAnsi" w:hAnsiTheme="minorHAnsi" w:cs="Arial"/>
                <w:bCs/>
                <w:sz w:val="20"/>
                <w:szCs w:val="20"/>
              </w:rPr>
              <w:t>che, grazie al supporto del team di esperti,</w:t>
            </w:r>
            <w:r w:rsidRPr="009F5798">
              <w:rPr>
                <w:rFonts w:asciiTheme="minorHAnsi" w:hAnsiTheme="minorHAnsi" w:cs="Arial"/>
                <w:bCs/>
                <w:sz w:val="20"/>
                <w:szCs w:val="20"/>
              </w:rPr>
              <w:t xml:space="preserve"> permetta di effettuare un confronto con un benchmark di </w:t>
            </w:r>
            <w:r>
              <w:rPr>
                <w:rFonts w:asciiTheme="minorHAnsi" w:hAnsiTheme="minorHAnsi" w:cs="Arial"/>
                <w:bCs/>
                <w:sz w:val="20"/>
                <w:szCs w:val="20"/>
              </w:rPr>
              <w:t>altre</w:t>
            </w:r>
            <w:r w:rsidRPr="009F5798">
              <w:rPr>
                <w:rFonts w:asciiTheme="minorHAnsi" w:hAnsiTheme="minorHAnsi" w:cs="Arial"/>
                <w:bCs/>
                <w:sz w:val="20"/>
                <w:szCs w:val="20"/>
              </w:rPr>
              <w:t xml:space="preserve"> organizzazioni della Pubblica Amministrazione</w:t>
            </w:r>
          </w:p>
        </w:tc>
        <w:tc>
          <w:tcPr>
            <w:tcW w:w="702" w:type="dxa"/>
            <w:shd w:val="clear" w:color="auto" w:fill="auto"/>
          </w:tcPr>
          <w:p w14:paraId="4A868068" w14:textId="77777777" w:rsidR="00306930" w:rsidRPr="00F55F63" w:rsidRDefault="00306930" w:rsidP="00C65594">
            <w:pPr>
              <w:spacing w:line="360" w:lineRule="auto"/>
              <w:jc w:val="both"/>
              <w:rPr>
                <w:rFonts w:asciiTheme="minorHAnsi" w:hAnsiTheme="minorHAnsi" w:cs="Arial"/>
                <w:bCs/>
                <w:i/>
                <w:sz w:val="20"/>
                <w:szCs w:val="20"/>
                <w:highlight w:val="green"/>
              </w:rPr>
            </w:pPr>
          </w:p>
        </w:tc>
      </w:tr>
      <w:tr w:rsidR="00306930" w:rsidRPr="00F55F63" w14:paraId="1F85B6EA" w14:textId="77777777" w:rsidTr="00C65594">
        <w:tc>
          <w:tcPr>
            <w:tcW w:w="1246" w:type="dxa"/>
            <w:vMerge/>
            <w:shd w:val="clear" w:color="auto" w:fill="auto"/>
            <w:vAlign w:val="center"/>
          </w:tcPr>
          <w:p w14:paraId="7AA933FA" w14:textId="77777777" w:rsidR="00306930" w:rsidRPr="00F55F63"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4317C28B" w14:textId="43531C85" w:rsidR="0010791C" w:rsidRDefault="0010791C" w:rsidP="0010791C">
            <w:pPr>
              <w:pStyle w:val="microblujustify"/>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 xml:space="preserve">KPI per </w:t>
            </w:r>
            <w:r w:rsidR="00987D08">
              <w:rPr>
                <w:rFonts w:asciiTheme="minorHAnsi" w:hAnsiTheme="minorHAnsi" w:cs="Arial"/>
                <w:bCs/>
                <w:sz w:val="20"/>
                <w:szCs w:val="20"/>
              </w:rPr>
              <w:t>“Strategic Digital P</w:t>
            </w:r>
            <w:r w:rsidRPr="0010791C">
              <w:rPr>
                <w:rFonts w:asciiTheme="minorHAnsi" w:hAnsiTheme="minorHAnsi" w:cs="Arial"/>
                <w:bCs/>
                <w:sz w:val="20"/>
                <w:szCs w:val="20"/>
              </w:rPr>
              <w:t>riorities</w:t>
            </w:r>
            <w:r w:rsidR="00987D08">
              <w:rPr>
                <w:rFonts w:asciiTheme="minorHAnsi" w:hAnsiTheme="minorHAnsi" w:cs="Arial"/>
                <w:bCs/>
                <w:sz w:val="20"/>
                <w:szCs w:val="20"/>
              </w:rPr>
              <w:t>”</w:t>
            </w:r>
            <w:r>
              <w:rPr>
                <w:rFonts w:asciiTheme="minorHAnsi" w:hAnsiTheme="minorHAnsi" w:cs="Arial"/>
                <w:bCs/>
                <w:sz w:val="20"/>
                <w:szCs w:val="20"/>
              </w:rPr>
              <w:t xml:space="preserve"> </w:t>
            </w:r>
            <w:r w:rsidRPr="0010791C">
              <w:rPr>
                <w:rFonts w:asciiTheme="minorHAnsi" w:hAnsiTheme="minorHAnsi" w:cs="Arial"/>
                <w:bCs/>
                <w:sz w:val="20"/>
                <w:szCs w:val="20"/>
              </w:rPr>
              <w:t xml:space="preserve">che </w:t>
            </w:r>
            <w:r w:rsidR="00987D08">
              <w:rPr>
                <w:rFonts w:asciiTheme="minorHAnsi" w:hAnsiTheme="minorHAnsi" w:cs="Arial"/>
                <w:bCs/>
                <w:sz w:val="20"/>
                <w:szCs w:val="20"/>
              </w:rPr>
              <w:t xml:space="preserve">possano </w:t>
            </w:r>
            <w:r w:rsidRPr="0010791C">
              <w:rPr>
                <w:rFonts w:asciiTheme="minorHAnsi" w:hAnsiTheme="minorHAnsi" w:cs="Arial"/>
                <w:bCs/>
                <w:sz w:val="20"/>
                <w:szCs w:val="20"/>
              </w:rPr>
              <w:t>misura</w:t>
            </w:r>
            <w:r w:rsidR="00987D08">
              <w:rPr>
                <w:rFonts w:asciiTheme="minorHAnsi" w:hAnsiTheme="minorHAnsi" w:cs="Arial"/>
                <w:bCs/>
                <w:sz w:val="20"/>
                <w:szCs w:val="20"/>
              </w:rPr>
              <w:t>re</w:t>
            </w:r>
            <w:r w:rsidRPr="0010791C">
              <w:rPr>
                <w:rFonts w:asciiTheme="minorHAnsi" w:hAnsiTheme="minorHAnsi" w:cs="Arial"/>
                <w:bCs/>
                <w:sz w:val="20"/>
                <w:szCs w:val="20"/>
              </w:rPr>
              <w:t xml:space="preserve"> le aree dove l’adozione del digitale può avere un impatto positivo alle performace aziendali</w:t>
            </w:r>
            <w:r>
              <w:rPr>
                <w:rFonts w:asciiTheme="minorHAnsi" w:hAnsiTheme="minorHAnsi" w:cs="Arial"/>
                <w:bCs/>
                <w:sz w:val="20"/>
                <w:szCs w:val="20"/>
              </w:rPr>
              <w:t xml:space="preserve">: </w:t>
            </w:r>
          </w:p>
          <w:p w14:paraId="41A8C0FE" w14:textId="42962E27" w:rsidR="0010791C" w:rsidRPr="0010791C" w:rsidRDefault="0010791C" w:rsidP="0010791C">
            <w:pPr>
              <w:pStyle w:val="microblujustify"/>
              <w:numPr>
                <w:ilvl w:val="0"/>
                <w:numId w:val="15"/>
              </w:numPr>
              <w:spacing w:before="0" w:beforeAutospacing="0" w:after="0" w:afterAutospacing="0"/>
              <w:jc w:val="both"/>
              <w:rPr>
                <w:rFonts w:asciiTheme="minorHAnsi" w:hAnsiTheme="minorHAnsi" w:cs="Arial"/>
                <w:sz w:val="20"/>
                <w:szCs w:val="20"/>
                <w:lang w:val="en-US"/>
              </w:rPr>
            </w:pPr>
            <w:r w:rsidRPr="0010791C">
              <w:rPr>
                <w:rFonts w:asciiTheme="minorHAnsi" w:hAnsiTheme="minorHAnsi" w:cs="Arial"/>
                <w:sz w:val="20"/>
                <w:szCs w:val="20"/>
                <w:lang w:val="en-US"/>
              </w:rPr>
              <w:t>Digital Governments Services</w:t>
            </w:r>
            <w:r>
              <w:rPr>
                <w:rFonts w:asciiTheme="minorHAnsi" w:hAnsiTheme="minorHAnsi" w:cs="Arial"/>
                <w:sz w:val="20"/>
                <w:szCs w:val="20"/>
                <w:lang w:val="en-US"/>
              </w:rPr>
              <w:t>,</w:t>
            </w:r>
          </w:p>
          <w:p w14:paraId="2964BF87" w14:textId="77777777" w:rsidR="0010791C" w:rsidRPr="0010791C" w:rsidRDefault="0010791C" w:rsidP="0010791C">
            <w:pPr>
              <w:pStyle w:val="microblujustify"/>
              <w:numPr>
                <w:ilvl w:val="0"/>
                <w:numId w:val="15"/>
              </w:numPr>
              <w:spacing w:before="0" w:beforeAutospacing="0" w:after="0" w:afterAutospacing="0"/>
              <w:jc w:val="both"/>
              <w:rPr>
                <w:rFonts w:asciiTheme="minorHAnsi" w:hAnsiTheme="minorHAnsi" w:cs="Arial"/>
                <w:sz w:val="20"/>
                <w:szCs w:val="20"/>
                <w:lang w:val="en-US"/>
              </w:rPr>
            </w:pPr>
            <w:r w:rsidRPr="0010791C">
              <w:rPr>
                <w:rFonts w:asciiTheme="minorHAnsi" w:hAnsiTheme="minorHAnsi" w:cs="Arial"/>
                <w:sz w:val="20"/>
                <w:szCs w:val="20"/>
                <w:lang w:val="en-US"/>
              </w:rPr>
              <w:t>Citizen Experience,</w:t>
            </w:r>
          </w:p>
          <w:p w14:paraId="00A3BE0E" w14:textId="7C4B19BE" w:rsidR="0010791C" w:rsidRPr="0010791C" w:rsidRDefault="0010791C" w:rsidP="0010791C">
            <w:pPr>
              <w:pStyle w:val="microblujustify"/>
              <w:numPr>
                <w:ilvl w:val="0"/>
                <w:numId w:val="15"/>
              </w:numPr>
              <w:spacing w:before="0" w:beforeAutospacing="0" w:after="0" w:afterAutospacing="0"/>
              <w:jc w:val="both"/>
              <w:rPr>
                <w:rFonts w:asciiTheme="minorHAnsi" w:hAnsiTheme="minorHAnsi" w:cs="Arial"/>
                <w:sz w:val="20"/>
                <w:szCs w:val="20"/>
                <w:lang w:val="en-US"/>
              </w:rPr>
            </w:pPr>
            <w:r w:rsidRPr="0010791C">
              <w:rPr>
                <w:rFonts w:asciiTheme="minorHAnsi" w:hAnsiTheme="minorHAnsi" w:cs="Arial"/>
                <w:sz w:val="20"/>
                <w:szCs w:val="20"/>
                <w:lang w:val="en-US"/>
              </w:rPr>
              <w:t>Achieve Operational Excellence</w:t>
            </w:r>
            <w:r>
              <w:rPr>
                <w:rFonts w:asciiTheme="minorHAnsi" w:hAnsiTheme="minorHAnsi" w:cs="Arial"/>
                <w:sz w:val="20"/>
                <w:szCs w:val="20"/>
                <w:lang w:val="en-US"/>
              </w:rPr>
              <w:t>,</w:t>
            </w:r>
          </w:p>
          <w:p w14:paraId="0329C2ED" w14:textId="4226BD75" w:rsidR="0010791C" w:rsidRPr="0010791C" w:rsidRDefault="0010791C" w:rsidP="0010791C">
            <w:pPr>
              <w:pStyle w:val="microblujustify"/>
              <w:numPr>
                <w:ilvl w:val="0"/>
                <w:numId w:val="15"/>
              </w:numPr>
              <w:spacing w:before="0" w:beforeAutospacing="0" w:after="0" w:afterAutospacing="0"/>
              <w:jc w:val="both"/>
              <w:rPr>
                <w:rFonts w:asciiTheme="minorHAnsi" w:hAnsiTheme="minorHAnsi" w:cs="Arial"/>
                <w:sz w:val="20"/>
                <w:szCs w:val="20"/>
                <w:lang w:val="en-US"/>
              </w:rPr>
            </w:pPr>
            <w:r w:rsidRPr="0010791C">
              <w:rPr>
                <w:rFonts w:asciiTheme="minorHAnsi" w:hAnsiTheme="minorHAnsi" w:cs="Arial"/>
                <w:sz w:val="20"/>
                <w:szCs w:val="20"/>
                <w:lang w:val="en-US"/>
              </w:rPr>
              <w:t>Optimize Asset Utilization</w:t>
            </w:r>
            <w:r>
              <w:rPr>
                <w:rFonts w:asciiTheme="minorHAnsi" w:hAnsiTheme="minorHAnsi" w:cs="Arial"/>
                <w:sz w:val="20"/>
                <w:szCs w:val="20"/>
                <w:lang w:val="en-US"/>
              </w:rPr>
              <w:t>,</w:t>
            </w:r>
          </w:p>
          <w:p w14:paraId="483BF901" w14:textId="548895CB" w:rsidR="0010791C" w:rsidRPr="00F55F63" w:rsidRDefault="0010791C" w:rsidP="0010791C">
            <w:pPr>
              <w:pStyle w:val="microblujustify"/>
              <w:numPr>
                <w:ilvl w:val="0"/>
                <w:numId w:val="15"/>
              </w:numPr>
              <w:spacing w:before="0" w:beforeAutospacing="0" w:after="0" w:afterAutospacing="0"/>
              <w:jc w:val="both"/>
              <w:rPr>
                <w:rFonts w:asciiTheme="minorHAnsi" w:hAnsiTheme="minorHAnsi" w:cs="Arial"/>
                <w:sz w:val="20"/>
                <w:szCs w:val="20"/>
              </w:rPr>
            </w:pPr>
            <w:r w:rsidRPr="0010791C">
              <w:rPr>
                <w:rFonts w:asciiTheme="minorHAnsi" w:hAnsiTheme="minorHAnsi" w:cs="Arial"/>
                <w:sz w:val="20"/>
                <w:szCs w:val="20"/>
              </w:rPr>
              <w:t>Minimize Risks</w:t>
            </w:r>
            <w:r>
              <w:rPr>
                <w:rFonts w:asciiTheme="minorHAnsi" w:hAnsiTheme="minorHAnsi" w:cs="Arial"/>
                <w:sz w:val="20"/>
                <w:szCs w:val="20"/>
              </w:rPr>
              <w:t>.</w:t>
            </w:r>
          </w:p>
        </w:tc>
        <w:tc>
          <w:tcPr>
            <w:tcW w:w="702" w:type="dxa"/>
            <w:shd w:val="clear" w:color="auto" w:fill="auto"/>
          </w:tcPr>
          <w:p w14:paraId="3FCC6684" w14:textId="77777777" w:rsidR="00306930" w:rsidRPr="00F55F63" w:rsidRDefault="00306930" w:rsidP="00C65594">
            <w:pPr>
              <w:spacing w:line="360" w:lineRule="auto"/>
              <w:jc w:val="both"/>
              <w:rPr>
                <w:rFonts w:asciiTheme="minorHAnsi" w:hAnsiTheme="minorHAnsi" w:cs="Arial"/>
                <w:bCs/>
                <w:i/>
                <w:sz w:val="20"/>
                <w:szCs w:val="20"/>
                <w:highlight w:val="green"/>
              </w:rPr>
            </w:pPr>
          </w:p>
        </w:tc>
      </w:tr>
      <w:tr w:rsidR="00306930" w:rsidRPr="002F145E" w14:paraId="02C36C7D" w14:textId="77777777" w:rsidTr="00C65594">
        <w:tc>
          <w:tcPr>
            <w:tcW w:w="1246" w:type="dxa"/>
            <w:vMerge/>
            <w:shd w:val="clear" w:color="auto" w:fill="auto"/>
            <w:vAlign w:val="center"/>
          </w:tcPr>
          <w:p w14:paraId="67C6E421" w14:textId="77777777" w:rsidR="00306930" w:rsidRPr="00F55F63"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64B19A49" w14:textId="48E89963" w:rsidR="002F145E" w:rsidRDefault="002F145E" w:rsidP="002F145E">
            <w:pPr>
              <w:pStyle w:val="microblujustify"/>
              <w:spacing w:before="0" w:beforeAutospacing="0" w:after="0" w:afterAutospacing="0"/>
              <w:jc w:val="both"/>
              <w:rPr>
                <w:rFonts w:asciiTheme="minorHAnsi" w:hAnsiTheme="minorHAnsi" w:cs="Arial"/>
                <w:bCs/>
                <w:sz w:val="20"/>
                <w:szCs w:val="20"/>
              </w:rPr>
            </w:pPr>
            <w:r>
              <w:rPr>
                <w:rFonts w:asciiTheme="minorHAnsi" w:hAnsiTheme="minorHAnsi" w:cs="Arial"/>
                <w:bCs/>
                <w:sz w:val="20"/>
                <w:szCs w:val="20"/>
              </w:rPr>
              <w:t xml:space="preserve">KPI per “Digital Enablers” </w:t>
            </w:r>
            <w:r w:rsidRPr="0010791C">
              <w:rPr>
                <w:rFonts w:asciiTheme="minorHAnsi" w:hAnsiTheme="minorHAnsi" w:cs="Arial"/>
                <w:bCs/>
                <w:sz w:val="20"/>
                <w:szCs w:val="20"/>
              </w:rPr>
              <w:t xml:space="preserve">che </w:t>
            </w:r>
            <w:r>
              <w:rPr>
                <w:rFonts w:asciiTheme="minorHAnsi" w:hAnsiTheme="minorHAnsi" w:cs="Arial"/>
                <w:bCs/>
                <w:sz w:val="20"/>
                <w:szCs w:val="20"/>
              </w:rPr>
              <w:t xml:space="preserve">possano </w:t>
            </w:r>
            <w:r w:rsidRPr="0010791C">
              <w:rPr>
                <w:rFonts w:asciiTheme="minorHAnsi" w:hAnsiTheme="minorHAnsi" w:cs="Arial"/>
                <w:bCs/>
                <w:sz w:val="20"/>
                <w:szCs w:val="20"/>
              </w:rPr>
              <w:t>misura</w:t>
            </w:r>
            <w:r>
              <w:rPr>
                <w:rFonts w:asciiTheme="minorHAnsi" w:hAnsiTheme="minorHAnsi" w:cs="Arial"/>
                <w:bCs/>
                <w:sz w:val="20"/>
                <w:szCs w:val="20"/>
              </w:rPr>
              <w:t xml:space="preserve">re </w:t>
            </w:r>
            <w:r w:rsidRPr="002F145E">
              <w:rPr>
                <w:rFonts w:asciiTheme="minorHAnsi" w:hAnsiTheme="minorHAnsi" w:cs="Arial"/>
                <w:bCs/>
                <w:sz w:val="20"/>
                <w:szCs w:val="20"/>
              </w:rPr>
              <w:t>lo stato di avanzamento nella costruzione delle digital capabilities</w:t>
            </w:r>
            <w:r>
              <w:rPr>
                <w:rFonts w:asciiTheme="minorHAnsi" w:hAnsiTheme="minorHAnsi" w:cs="Arial"/>
                <w:bCs/>
                <w:sz w:val="20"/>
                <w:szCs w:val="20"/>
              </w:rPr>
              <w:t xml:space="preserve">: </w:t>
            </w:r>
          </w:p>
          <w:p w14:paraId="0C78D8C3" w14:textId="7DFA7F9E" w:rsidR="002F145E" w:rsidRPr="002F145E" w:rsidRDefault="00A02608" w:rsidP="002F145E">
            <w:pPr>
              <w:pStyle w:val="microblujustify"/>
              <w:numPr>
                <w:ilvl w:val="0"/>
                <w:numId w:val="15"/>
              </w:numPr>
              <w:spacing w:before="0" w:beforeAutospacing="0" w:after="0" w:afterAutospacing="0"/>
              <w:jc w:val="both"/>
              <w:rPr>
                <w:rFonts w:asciiTheme="minorHAnsi" w:hAnsiTheme="minorHAnsi" w:cs="Arial"/>
                <w:sz w:val="20"/>
                <w:szCs w:val="20"/>
              </w:rPr>
            </w:pPr>
            <w:r>
              <w:rPr>
                <w:rFonts w:asciiTheme="minorHAnsi" w:hAnsiTheme="minorHAnsi" w:cs="Arial"/>
                <w:sz w:val="20"/>
                <w:szCs w:val="20"/>
              </w:rPr>
              <w:t>F</w:t>
            </w:r>
            <w:r w:rsidR="00DC5367">
              <w:rPr>
                <w:rFonts w:asciiTheme="minorHAnsi" w:hAnsiTheme="minorHAnsi" w:cs="Arial"/>
                <w:sz w:val="20"/>
                <w:szCs w:val="20"/>
              </w:rPr>
              <w:t>unding</w:t>
            </w:r>
            <w:r w:rsidR="002F145E" w:rsidRPr="002F145E">
              <w:rPr>
                <w:rFonts w:asciiTheme="minorHAnsi" w:hAnsiTheme="minorHAnsi" w:cs="Arial"/>
                <w:sz w:val="20"/>
                <w:szCs w:val="20"/>
              </w:rPr>
              <w:t>,</w:t>
            </w:r>
          </w:p>
          <w:p w14:paraId="13205615" w14:textId="0D71539C" w:rsidR="002F145E" w:rsidRPr="002F145E" w:rsidRDefault="00A02608" w:rsidP="002F145E">
            <w:pPr>
              <w:pStyle w:val="microblujustify"/>
              <w:numPr>
                <w:ilvl w:val="0"/>
                <w:numId w:val="15"/>
              </w:numPr>
              <w:spacing w:before="0" w:beforeAutospacing="0" w:after="0" w:afterAutospacing="0"/>
              <w:jc w:val="both"/>
              <w:rPr>
                <w:rFonts w:asciiTheme="minorHAnsi" w:hAnsiTheme="minorHAnsi" w:cs="Arial"/>
                <w:sz w:val="20"/>
                <w:szCs w:val="20"/>
              </w:rPr>
            </w:pPr>
            <w:r>
              <w:rPr>
                <w:rFonts w:asciiTheme="minorHAnsi" w:hAnsiTheme="minorHAnsi" w:cs="Arial"/>
                <w:sz w:val="20"/>
                <w:szCs w:val="20"/>
              </w:rPr>
              <w:t>C</w:t>
            </w:r>
            <w:r w:rsidR="00DC5367">
              <w:rPr>
                <w:rFonts w:asciiTheme="minorHAnsi" w:hAnsiTheme="minorHAnsi" w:cs="Arial"/>
                <w:sz w:val="20"/>
                <w:szCs w:val="20"/>
              </w:rPr>
              <w:t>ulture</w:t>
            </w:r>
            <w:r w:rsidR="002F145E" w:rsidRPr="002F145E">
              <w:rPr>
                <w:rFonts w:asciiTheme="minorHAnsi" w:hAnsiTheme="minorHAnsi" w:cs="Arial"/>
                <w:sz w:val="20"/>
                <w:szCs w:val="20"/>
              </w:rPr>
              <w:t>,</w:t>
            </w:r>
          </w:p>
          <w:p w14:paraId="5A9321AB" w14:textId="37F3EDFF" w:rsidR="002F145E" w:rsidRPr="002F145E" w:rsidRDefault="00DC5367" w:rsidP="00DC5367">
            <w:pPr>
              <w:pStyle w:val="microblujustify"/>
              <w:numPr>
                <w:ilvl w:val="0"/>
                <w:numId w:val="15"/>
              </w:numPr>
              <w:spacing w:before="0" w:beforeAutospacing="0" w:after="0" w:afterAutospacing="0"/>
              <w:jc w:val="both"/>
              <w:rPr>
                <w:rFonts w:asciiTheme="minorHAnsi" w:hAnsiTheme="minorHAnsi" w:cs="Arial"/>
                <w:sz w:val="20"/>
                <w:szCs w:val="20"/>
              </w:rPr>
            </w:pPr>
            <w:r w:rsidRPr="00DC5367">
              <w:rPr>
                <w:rFonts w:asciiTheme="minorHAnsi" w:hAnsiTheme="minorHAnsi" w:cs="Arial"/>
                <w:sz w:val="20"/>
                <w:szCs w:val="20"/>
              </w:rPr>
              <w:t>Organisation and Decision Rights</w:t>
            </w:r>
            <w:r w:rsidR="002F145E" w:rsidRPr="002F145E">
              <w:rPr>
                <w:rFonts w:asciiTheme="minorHAnsi" w:hAnsiTheme="minorHAnsi" w:cs="Arial"/>
                <w:sz w:val="20"/>
                <w:szCs w:val="20"/>
              </w:rPr>
              <w:t>,</w:t>
            </w:r>
          </w:p>
          <w:p w14:paraId="597F863F" w14:textId="54B6E01A" w:rsidR="002F145E" w:rsidRDefault="00A02608" w:rsidP="002F145E">
            <w:pPr>
              <w:pStyle w:val="microblujustify"/>
              <w:numPr>
                <w:ilvl w:val="0"/>
                <w:numId w:val="15"/>
              </w:numPr>
              <w:spacing w:before="0" w:beforeAutospacing="0" w:after="0" w:afterAutospacing="0"/>
              <w:jc w:val="both"/>
              <w:rPr>
                <w:rFonts w:asciiTheme="minorHAnsi" w:hAnsiTheme="minorHAnsi" w:cs="Arial"/>
                <w:sz w:val="20"/>
                <w:szCs w:val="20"/>
              </w:rPr>
            </w:pPr>
            <w:r>
              <w:rPr>
                <w:rFonts w:asciiTheme="minorHAnsi" w:hAnsiTheme="minorHAnsi" w:cs="Arial"/>
                <w:sz w:val="20"/>
                <w:szCs w:val="20"/>
              </w:rPr>
              <w:t>Sourcing</w:t>
            </w:r>
            <w:r w:rsidR="002F145E" w:rsidRPr="002F145E">
              <w:rPr>
                <w:rFonts w:asciiTheme="minorHAnsi" w:hAnsiTheme="minorHAnsi" w:cs="Arial"/>
                <w:sz w:val="20"/>
                <w:szCs w:val="20"/>
              </w:rPr>
              <w:t>,</w:t>
            </w:r>
          </w:p>
          <w:p w14:paraId="0449F2BC" w14:textId="743DC8A4" w:rsidR="00A02608" w:rsidRPr="00A02608" w:rsidRDefault="00A02608" w:rsidP="00A02608">
            <w:pPr>
              <w:pStyle w:val="microblujustify"/>
              <w:numPr>
                <w:ilvl w:val="0"/>
                <w:numId w:val="15"/>
              </w:numPr>
              <w:spacing w:before="0" w:beforeAutospacing="0" w:after="0" w:afterAutospacing="0"/>
              <w:jc w:val="both"/>
              <w:rPr>
                <w:rFonts w:asciiTheme="minorHAnsi" w:hAnsiTheme="minorHAnsi" w:cs="Arial"/>
                <w:bCs/>
                <w:sz w:val="20"/>
                <w:szCs w:val="20"/>
              </w:rPr>
            </w:pPr>
            <w:r w:rsidRPr="00A02608">
              <w:rPr>
                <w:rFonts w:asciiTheme="minorHAnsi" w:hAnsiTheme="minorHAnsi" w:cs="Arial"/>
                <w:sz w:val="20"/>
                <w:szCs w:val="20"/>
              </w:rPr>
              <w:t>Talent and Skills</w:t>
            </w:r>
            <w:r>
              <w:rPr>
                <w:rFonts w:asciiTheme="minorHAnsi" w:hAnsiTheme="minorHAnsi" w:cs="Arial"/>
                <w:sz w:val="20"/>
                <w:szCs w:val="20"/>
              </w:rPr>
              <w:t>,</w:t>
            </w:r>
          </w:p>
          <w:p w14:paraId="2836D0F9" w14:textId="10B14A5D" w:rsidR="00A02608" w:rsidRPr="00A02608" w:rsidRDefault="00A02608" w:rsidP="00A02608">
            <w:pPr>
              <w:pStyle w:val="microblujustify"/>
              <w:numPr>
                <w:ilvl w:val="0"/>
                <w:numId w:val="15"/>
              </w:numPr>
              <w:jc w:val="both"/>
              <w:rPr>
                <w:rFonts w:asciiTheme="minorHAnsi" w:hAnsiTheme="minorHAnsi" w:cs="Arial"/>
                <w:sz w:val="20"/>
                <w:szCs w:val="20"/>
              </w:rPr>
            </w:pPr>
            <w:r w:rsidRPr="00A02608">
              <w:rPr>
                <w:rFonts w:asciiTheme="minorHAnsi" w:hAnsiTheme="minorHAnsi" w:cs="Arial"/>
                <w:sz w:val="20"/>
                <w:szCs w:val="20"/>
              </w:rPr>
              <w:t>Ways of Working</w:t>
            </w:r>
            <w:r>
              <w:rPr>
                <w:rFonts w:asciiTheme="minorHAnsi" w:hAnsiTheme="minorHAnsi" w:cs="Arial"/>
                <w:sz w:val="20"/>
                <w:szCs w:val="20"/>
              </w:rPr>
              <w:t>,</w:t>
            </w:r>
          </w:p>
          <w:p w14:paraId="59FBA7CA" w14:textId="5669B51A" w:rsidR="00A02608" w:rsidRPr="00A02608" w:rsidRDefault="00A02608" w:rsidP="00A02608">
            <w:pPr>
              <w:pStyle w:val="microblujustify"/>
              <w:numPr>
                <w:ilvl w:val="0"/>
                <w:numId w:val="15"/>
              </w:numPr>
              <w:jc w:val="both"/>
              <w:rPr>
                <w:rFonts w:asciiTheme="minorHAnsi" w:hAnsiTheme="minorHAnsi" w:cs="Arial"/>
                <w:sz w:val="20"/>
                <w:szCs w:val="20"/>
              </w:rPr>
            </w:pPr>
            <w:r w:rsidRPr="00A02608">
              <w:rPr>
                <w:rFonts w:asciiTheme="minorHAnsi" w:hAnsiTheme="minorHAnsi" w:cs="Arial"/>
                <w:sz w:val="20"/>
                <w:szCs w:val="20"/>
              </w:rPr>
              <w:t>Cloud and DevOps Toolchain</w:t>
            </w:r>
          </w:p>
          <w:p w14:paraId="2660C73A" w14:textId="70BA9E9A" w:rsidR="00A02608" w:rsidRPr="00A02608" w:rsidRDefault="00A02608" w:rsidP="00A02608">
            <w:pPr>
              <w:pStyle w:val="microblujustify"/>
              <w:numPr>
                <w:ilvl w:val="0"/>
                <w:numId w:val="15"/>
              </w:numPr>
              <w:jc w:val="both"/>
              <w:rPr>
                <w:rFonts w:asciiTheme="minorHAnsi" w:hAnsiTheme="minorHAnsi" w:cs="Arial"/>
                <w:sz w:val="20"/>
                <w:szCs w:val="20"/>
                <w:lang w:val="en-US"/>
              </w:rPr>
            </w:pPr>
            <w:r w:rsidRPr="00A02608">
              <w:rPr>
                <w:rFonts w:asciiTheme="minorHAnsi" w:hAnsiTheme="minorHAnsi" w:cs="Arial"/>
                <w:sz w:val="20"/>
                <w:szCs w:val="20"/>
                <w:lang w:val="en-US"/>
              </w:rPr>
              <w:t>AI and Data Analytics platform</w:t>
            </w:r>
            <w:r>
              <w:rPr>
                <w:rFonts w:asciiTheme="minorHAnsi" w:hAnsiTheme="minorHAnsi" w:cs="Arial"/>
                <w:sz w:val="20"/>
                <w:szCs w:val="20"/>
                <w:lang w:val="en-US"/>
              </w:rPr>
              <w:t>,</w:t>
            </w:r>
          </w:p>
          <w:p w14:paraId="69C7C38D" w14:textId="193270A9" w:rsidR="00A02608" w:rsidRPr="00A02608" w:rsidRDefault="00A02608" w:rsidP="00A02608">
            <w:pPr>
              <w:pStyle w:val="microblujustify"/>
              <w:numPr>
                <w:ilvl w:val="0"/>
                <w:numId w:val="15"/>
              </w:numPr>
              <w:jc w:val="both"/>
              <w:rPr>
                <w:rFonts w:asciiTheme="minorHAnsi" w:hAnsiTheme="minorHAnsi" w:cs="Arial"/>
                <w:sz w:val="20"/>
                <w:szCs w:val="20"/>
              </w:rPr>
            </w:pPr>
            <w:r>
              <w:rPr>
                <w:rFonts w:asciiTheme="minorHAnsi" w:hAnsiTheme="minorHAnsi" w:cs="Arial"/>
                <w:sz w:val="20"/>
                <w:szCs w:val="20"/>
              </w:rPr>
              <w:t>Customer P</w:t>
            </w:r>
            <w:r w:rsidRPr="00A02608">
              <w:rPr>
                <w:rFonts w:asciiTheme="minorHAnsi" w:hAnsiTheme="minorHAnsi" w:cs="Arial"/>
                <w:sz w:val="20"/>
                <w:szCs w:val="20"/>
              </w:rPr>
              <w:t>latform</w:t>
            </w:r>
            <w:r>
              <w:rPr>
                <w:rFonts w:asciiTheme="minorHAnsi" w:hAnsiTheme="minorHAnsi" w:cs="Arial"/>
                <w:sz w:val="20"/>
                <w:szCs w:val="20"/>
              </w:rPr>
              <w:t>,</w:t>
            </w:r>
          </w:p>
          <w:p w14:paraId="2FA5DD01" w14:textId="408F7960" w:rsidR="00A02608" w:rsidRPr="00A02608" w:rsidRDefault="00A02608" w:rsidP="00A02608">
            <w:pPr>
              <w:pStyle w:val="microblujustify"/>
              <w:numPr>
                <w:ilvl w:val="0"/>
                <w:numId w:val="15"/>
              </w:numPr>
              <w:jc w:val="both"/>
              <w:rPr>
                <w:rFonts w:asciiTheme="minorHAnsi" w:hAnsiTheme="minorHAnsi" w:cs="Arial"/>
                <w:sz w:val="20"/>
                <w:szCs w:val="20"/>
              </w:rPr>
            </w:pPr>
            <w:r w:rsidRPr="00A02608">
              <w:rPr>
                <w:rFonts w:asciiTheme="minorHAnsi" w:hAnsiTheme="minorHAnsi" w:cs="Arial"/>
                <w:sz w:val="20"/>
                <w:szCs w:val="20"/>
              </w:rPr>
              <w:t>Ecosystem Integration Platform</w:t>
            </w:r>
            <w:r>
              <w:rPr>
                <w:rFonts w:asciiTheme="minorHAnsi" w:hAnsiTheme="minorHAnsi" w:cs="Arial"/>
                <w:sz w:val="20"/>
                <w:szCs w:val="20"/>
              </w:rPr>
              <w:t>,</w:t>
            </w:r>
          </w:p>
          <w:p w14:paraId="091C2E9B" w14:textId="746D0520" w:rsidR="00A02608" w:rsidRPr="00A02608" w:rsidRDefault="00A02608" w:rsidP="00A02608">
            <w:pPr>
              <w:pStyle w:val="microblujustify"/>
              <w:numPr>
                <w:ilvl w:val="0"/>
                <w:numId w:val="15"/>
              </w:numPr>
              <w:jc w:val="both"/>
              <w:rPr>
                <w:rFonts w:asciiTheme="minorHAnsi" w:hAnsiTheme="minorHAnsi" w:cs="Arial"/>
                <w:sz w:val="20"/>
                <w:szCs w:val="20"/>
              </w:rPr>
            </w:pPr>
            <w:r w:rsidRPr="00A02608">
              <w:rPr>
                <w:rFonts w:asciiTheme="minorHAnsi" w:hAnsiTheme="minorHAnsi" w:cs="Arial"/>
                <w:sz w:val="20"/>
                <w:szCs w:val="20"/>
              </w:rPr>
              <w:t>IoT Platform</w:t>
            </w:r>
            <w:r>
              <w:rPr>
                <w:rFonts w:asciiTheme="minorHAnsi" w:hAnsiTheme="minorHAnsi" w:cs="Arial"/>
                <w:sz w:val="20"/>
                <w:szCs w:val="20"/>
              </w:rPr>
              <w:t>,</w:t>
            </w:r>
          </w:p>
          <w:p w14:paraId="542ABDDF" w14:textId="73090CD9" w:rsidR="00306930" w:rsidRPr="002F145E" w:rsidRDefault="00A02608" w:rsidP="00A02608">
            <w:pPr>
              <w:pStyle w:val="microblujustify"/>
              <w:numPr>
                <w:ilvl w:val="0"/>
                <w:numId w:val="15"/>
              </w:numPr>
              <w:spacing w:before="0" w:beforeAutospacing="0" w:after="0" w:afterAutospacing="0"/>
              <w:jc w:val="both"/>
              <w:rPr>
                <w:rFonts w:asciiTheme="minorHAnsi" w:hAnsiTheme="minorHAnsi" w:cs="Arial"/>
                <w:bCs/>
                <w:sz w:val="20"/>
                <w:szCs w:val="20"/>
              </w:rPr>
            </w:pPr>
            <w:r w:rsidRPr="00A02608">
              <w:rPr>
                <w:rFonts w:asciiTheme="minorHAnsi" w:hAnsiTheme="minorHAnsi" w:cs="Arial"/>
                <w:sz w:val="20"/>
                <w:szCs w:val="20"/>
              </w:rPr>
              <w:t>Security Platform</w:t>
            </w:r>
            <w:r w:rsidR="002F145E">
              <w:rPr>
                <w:rFonts w:asciiTheme="minorHAnsi" w:hAnsiTheme="minorHAnsi" w:cs="Arial"/>
                <w:sz w:val="20"/>
                <w:szCs w:val="20"/>
              </w:rPr>
              <w:t>.</w:t>
            </w:r>
          </w:p>
        </w:tc>
        <w:tc>
          <w:tcPr>
            <w:tcW w:w="702" w:type="dxa"/>
            <w:shd w:val="clear" w:color="auto" w:fill="auto"/>
          </w:tcPr>
          <w:p w14:paraId="06C305D5" w14:textId="77777777" w:rsidR="00306930" w:rsidRPr="002F145E" w:rsidRDefault="00306930" w:rsidP="00C65594">
            <w:pPr>
              <w:spacing w:line="360" w:lineRule="auto"/>
              <w:jc w:val="both"/>
              <w:rPr>
                <w:rFonts w:asciiTheme="minorHAnsi" w:hAnsiTheme="minorHAnsi" w:cs="Arial"/>
                <w:bCs/>
                <w:i/>
                <w:sz w:val="20"/>
                <w:szCs w:val="20"/>
                <w:highlight w:val="green"/>
              </w:rPr>
            </w:pPr>
          </w:p>
        </w:tc>
      </w:tr>
      <w:tr w:rsidR="00306930" w:rsidRPr="00733A0A" w14:paraId="13643A02" w14:textId="77777777" w:rsidTr="00C65594">
        <w:tc>
          <w:tcPr>
            <w:tcW w:w="1246" w:type="dxa"/>
            <w:vMerge/>
            <w:shd w:val="clear" w:color="auto" w:fill="auto"/>
            <w:vAlign w:val="center"/>
          </w:tcPr>
          <w:p w14:paraId="1E259C0D" w14:textId="77777777" w:rsidR="00306930" w:rsidRPr="002F145E"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23E071BF" w14:textId="77777777" w:rsidR="00306930" w:rsidRPr="00733A0A" w:rsidRDefault="00306930" w:rsidP="00C65594">
            <w:pPr>
              <w:jc w:val="both"/>
              <w:rPr>
                <w:rFonts w:asciiTheme="minorHAnsi" w:hAnsiTheme="minorHAnsi" w:cs="Arial"/>
                <w:bCs/>
                <w:sz w:val="20"/>
                <w:szCs w:val="20"/>
              </w:rPr>
            </w:pPr>
            <w:r w:rsidRPr="00733A0A">
              <w:rPr>
                <w:rFonts w:asciiTheme="minorHAnsi" w:hAnsiTheme="minorHAnsi" w:cs="Arial"/>
                <w:bCs/>
                <w:sz w:val="20"/>
                <w:szCs w:val="20"/>
              </w:rPr>
              <w:t>Tool on-line che consenta sulla base della compilazione del proprio spending di avere una comparazione per Industry o</w:t>
            </w:r>
            <w:r>
              <w:rPr>
                <w:rFonts w:asciiTheme="minorHAnsi" w:hAnsiTheme="minorHAnsi" w:cs="Arial"/>
                <w:bCs/>
                <w:sz w:val="20"/>
                <w:szCs w:val="20"/>
              </w:rPr>
              <w:t xml:space="preserve"> per Fatturato/Budget aziendale con funzioni di:</w:t>
            </w:r>
          </w:p>
          <w:p w14:paraId="747880C1" w14:textId="77777777" w:rsidR="00306930" w:rsidRPr="00733A0A" w:rsidRDefault="00306930" w:rsidP="00C65594">
            <w:pPr>
              <w:jc w:val="both"/>
              <w:rPr>
                <w:rFonts w:asciiTheme="minorHAnsi" w:hAnsiTheme="minorHAnsi" w:cs="Arial"/>
                <w:bCs/>
                <w:sz w:val="20"/>
                <w:szCs w:val="20"/>
              </w:rPr>
            </w:pPr>
            <w:r>
              <w:rPr>
                <w:rFonts w:asciiTheme="minorHAnsi" w:hAnsiTheme="minorHAnsi" w:cs="Arial"/>
                <w:bCs/>
                <w:sz w:val="20"/>
                <w:szCs w:val="20"/>
              </w:rPr>
              <w:lastRenderedPageBreak/>
              <w:t xml:space="preserve">- </w:t>
            </w:r>
            <w:r w:rsidRPr="00733A0A">
              <w:rPr>
                <w:rFonts w:asciiTheme="minorHAnsi" w:hAnsiTheme="minorHAnsi" w:cs="Arial"/>
                <w:bCs/>
                <w:sz w:val="20"/>
                <w:szCs w:val="20"/>
              </w:rPr>
              <w:t>generazione di report in formato .PPT</w:t>
            </w:r>
          </w:p>
          <w:p w14:paraId="4DF05A2F" w14:textId="77777777" w:rsidR="00306930" w:rsidRPr="00733A0A" w:rsidRDefault="00306930" w:rsidP="00C65594">
            <w:pPr>
              <w:jc w:val="both"/>
              <w:rPr>
                <w:rFonts w:asciiTheme="minorHAnsi" w:hAnsiTheme="minorHAnsi" w:cs="Arial"/>
                <w:bCs/>
                <w:sz w:val="20"/>
                <w:szCs w:val="20"/>
              </w:rPr>
            </w:pPr>
            <w:r>
              <w:rPr>
                <w:rFonts w:asciiTheme="minorHAnsi" w:hAnsiTheme="minorHAnsi" w:cs="Arial"/>
                <w:bCs/>
                <w:sz w:val="20"/>
                <w:szCs w:val="20"/>
              </w:rPr>
              <w:t xml:space="preserve">- </w:t>
            </w:r>
            <w:r w:rsidRPr="00733A0A">
              <w:rPr>
                <w:rFonts w:asciiTheme="minorHAnsi" w:hAnsiTheme="minorHAnsi" w:cs="Arial"/>
                <w:bCs/>
                <w:sz w:val="20"/>
                <w:szCs w:val="20"/>
              </w:rPr>
              <w:t>editing dinamico (modifica dato genera modifica grafica) del .PPT di confronto</w:t>
            </w:r>
          </w:p>
          <w:p w14:paraId="18C09079" w14:textId="77777777" w:rsidR="00306930" w:rsidRPr="00733A0A" w:rsidRDefault="00306930" w:rsidP="00C65594">
            <w:pPr>
              <w:jc w:val="both"/>
              <w:rPr>
                <w:rFonts w:asciiTheme="minorHAnsi" w:hAnsiTheme="minorHAnsi" w:cs="Arial"/>
                <w:bCs/>
                <w:sz w:val="20"/>
                <w:szCs w:val="20"/>
              </w:rPr>
            </w:pPr>
            <w:r>
              <w:rPr>
                <w:rFonts w:asciiTheme="minorHAnsi" w:hAnsiTheme="minorHAnsi" w:cs="Arial"/>
                <w:bCs/>
                <w:sz w:val="20"/>
                <w:szCs w:val="20"/>
              </w:rPr>
              <w:t>- v</w:t>
            </w:r>
            <w:r w:rsidRPr="00733A0A">
              <w:rPr>
                <w:rFonts w:asciiTheme="minorHAnsi" w:hAnsiTheme="minorHAnsi" w:cs="Arial"/>
                <w:bCs/>
                <w:sz w:val="20"/>
                <w:szCs w:val="20"/>
              </w:rPr>
              <w:t>iste multiple su parametri di spesa e confronto rispetto a 25mo e 75mo percentile su almeno 30 metriche</w:t>
            </w:r>
          </w:p>
        </w:tc>
        <w:tc>
          <w:tcPr>
            <w:tcW w:w="702" w:type="dxa"/>
            <w:shd w:val="clear" w:color="auto" w:fill="auto"/>
          </w:tcPr>
          <w:p w14:paraId="2E732BCE"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733A0A" w14:paraId="17D957D1" w14:textId="77777777" w:rsidTr="00C65594">
        <w:tc>
          <w:tcPr>
            <w:tcW w:w="1246" w:type="dxa"/>
            <w:vMerge/>
            <w:shd w:val="clear" w:color="auto" w:fill="auto"/>
            <w:vAlign w:val="center"/>
          </w:tcPr>
          <w:p w14:paraId="07120CBD"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5A7F5001" w14:textId="77777777" w:rsidR="00306930" w:rsidRPr="00733A0A" w:rsidRDefault="00306930" w:rsidP="00C65594">
            <w:pPr>
              <w:jc w:val="both"/>
              <w:rPr>
                <w:rFonts w:asciiTheme="minorHAnsi" w:hAnsiTheme="minorHAnsi" w:cs="Arial"/>
                <w:bCs/>
                <w:sz w:val="20"/>
                <w:szCs w:val="20"/>
              </w:rPr>
            </w:pPr>
            <w:r w:rsidRPr="00733A0A">
              <w:rPr>
                <w:rFonts w:asciiTheme="minorHAnsi" w:hAnsiTheme="minorHAnsi" w:cs="Arial"/>
                <w:bCs/>
                <w:sz w:val="20"/>
                <w:szCs w:val="20"/>
              </w:rPr>
              <w:t>Altri strumenti on-line interattivi per ac</w:t>
            </w:r>
            <w:r>
              <w:rPr>
                <w:rFonts w:asciiTheme="minorHAnsi" w:hAnsiTheme="minorHAnsi" w:cs="Arial"/>
                <w:bCs/>
                <w:sz w:val="20"/>
                <w:szCs w:val="20"/>
              </w:rPr>
              <w:t>c</w:t>
            </w:r>
            <w:r w:rsidRPr="00733A0A">
              <w:rPr>
                <w:rFonts w:asciiTheme="minorHAnsi" w:hAnsiTheme="minorHAnsi" w:cs="Arial"/>
                <w:bCs/>
                <w:sz w:val="20"/>
                <w:szCs w:val="20"/>
              </w:rPr>
              <w:t>esso a metriche di Turnover, Anzianità organizzativa, Gestione risorse ad alto potenziale</w:t>
            </w:r>
          </w:p>
        </w:tc>
        <w:tc>
          <w:tcPr>
            <w:tcW w:w="702" w:type="dxa"/>
            <w:shd w:val="clear" w:color="auto" w:fill="auto"/>
          </w:tcPr>
          <w:p w14:paraId="612D09AF"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733A0A" w14:paraId="0891684A" w14:textId="77777777" w:rsidTr="00C65594">
        <w:tc>
          <w:tcPr>
            <w:tcW w:w="1246" w:type="dxa"/>
            <w:vMerge/>
            <w:shd w:val="clear" w:color="auto" w:fill="auto"/>
            <w:vAlign w:val="center"/>
          </w:tcPr>
          <w:p w14:paraId="080AAD38"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1CA3EAFA" w14:textId="77777777" w:rsidR="00306930" w:rsidRPr="00733A0A" w:rsidRDefault="00306930" w:rsidP="00C65594">
            <w:pPr>
              <w:jc w:val="both"/>
              <w:rPr>
                <w:rFonts w:asciiTheme="minorHAnsi" w:hAnsiTheme="minorHAnsi" w:cs="Arial"/>
                <w:bCs/>
                <w:sz w:val="20"/>
                <w:szCs w:val="20"/>
              </w:rPr>
            </w:pPr>
            <w:r w:rsidRPr="00733A0A">
              <w:rPr>
                <w:rFonts w:asciiTheme="minorHAnsi" w:hAnsiTheme="minorHAnsi" w:cs="Arial"/>
                <w:bCs/>
                <w:sz w:val="20"/>
                <w:szCs w:val="20"/>
              </w:rPr>
              <w:t>Tool Interattivi per il calcolo del TCO per hiring e turnover</w:t>
            </w:r>
          </w:p>
        </w:tc>
        <w:tc>
          <w:tcPr>
            <w:tcW w:w="702" w:type="dxa"/>
            <w:shd w:val="clear" w:color="auto" w:fill="auto"/>
          </w:tcPr>
          <w:p w14:paraId="577A440C"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733A0A" w14:paraId="2047A0B5" w14:textId="77777777" w:rsidTr="00C65594">
        <w:tc>
          <w:tcPr>
            <w:tcW w:w="1246" w:type="dxa"/>
            <w:vMerge/>
            <w:shd w:val="clear" w:color="auto" w:fill="auto"/>
            <w:vAlign w:val="center"/>
          </w:tcPr>
          <w:p w14:paraId="4D5A8FE3"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264EC95D" w14:textId="77777777" w:rsidR="00306930" w:rsidRPr="00733A0A" w:rsidRDefault="00306930" w:rsidP="00C65594">
            <w:pPr>
              <w:jc w:val="both"/>
              <w:rPr>
                <w:rFonts w:asciiTheme="minorHAnsi" w:hAnsiTheme="minorHAnsi" w:cs="Arial"/>
                <w:bCs/>
                <w:sz w:val="20"/>
                <w:szCs w:val="20"/>
              </w:rPr>
            </w:pPr>
            <w:r w:rsidRPr="00733A0A">
              <w:rPr>
                <w:rFonts w:asciiTheme="minorHAnsi" w:hAnsiTheme="minorHAnsi" w:cs="Arial"/>
                <w:bCs/>
                <w:sz w:val="20"/>
                <w:szCs w:val="20"/>
              </w:rPr>
              <w:t>Metriche distinte per industry (compreso governemnt) a livello internazionale per le attività di training e sviluppo delle risorse</w:t>
            </w:r>
          </w:p>
        </w:tc>
        <w:tc>
          <w:tcPr>
            <w:tcW w:w="702" w:type="dxa"/>
            <w:shd w:val="clear" w:color="auto" w:fill="auto"/>
          </w:tcPr>
          <w:p w14:paraId="378FBCB8"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C34262" w14:paraId="614BD50E" w14:textId="77777777" w:rsidTr="00C65594">
        <w:tc>
          <w:tcPr>
            <w:tcW w:w="1246" w:type="dxa"/>
            <w:vMerge/>
            <w:shd w:val="clear" w:color="auto" w:fill="auto"/>
            <w:vAlign w:val="center"/>
          </w:tcPr>
          <w:p w14:paraId="76ED0CA1"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7F0A6443" w14:textId="77777777" w:rsidR="00306930" w:rsidRPr="00F17E02" w:rsidRDefault="00306930" w:rsidP="00C65594">
            <w:pPr>
              <w:jc w:val="both"/>
              <w:rPr>
                <w:rFonts w:asciiTheme="minorHAnsi" w:hAnsiTheme="minorHAnsi" w:cs="Arial"/>
                <w:bCs/>
                <w:sz w:val="20"/>
                <w:szCs w:val="20"/>
              </w:rPr>
            </w:pPr>
            <w:r w:rsidRPr="00F17E02">
              <w:rPr>
                <w:rFonts w:asciiTheme="minorHAnsi" w:hAnsiTheme="minorHAnsi" w:cs="Arial"/>
                <w:bCs/>
                <w:sz w:val="20"/>
                <w:szCs w:val="20"/>
              </w:rPr>
              <w:t>Strumenti di diagnostici di valutazione della maturità e la pianificazione delle azioni di miglioramento delle pratiche di trasformazione digitale per le risorse umane</w:t>
            </w:r>
            <w:r>
              <w:rPr>
                <w:rFonts w:asciiTheme="minorHAnsi" w:hAnsiTheme="minorHAnsi" w:cs="Arial"/>
                <w:bCs/>
                <w:sz w:val="20"/>
                <w:szCs w:val="20"/>
              </w:rPr>
              <w:t xml:space="preserve">: </w:t>
            </w:r>
          </w:p>
          <w:p w14:paraId="4CB54E35" w14:textId="77777777" w:rsidR="00306930" w:rsidRPr="00F17E02" w:rsidRDefault="00306930" w:rsidP="00C65594">
            <w:pPr>
              <w:jc w:val="both"/>
              <w:rPr>
                <w:rFonts w:asciiTheme="minorHAnsi" w:hAnsiTheme="minorHAnsi" w:cs="Arial"/>
                <w:bCs/>
                <w:sz w:val="20"/>
                <w:szCs w:val="20"/>
              </w:rPr>
            </w:pPr>
            <w:r>
              <w:rPr>
                <w:rFonts w:asciiTheme="minorHAnsi" w:hAnsiTheme="minorHAnsi" w:cs="Arial"/>
                <w:bCs/>
                <w:sz w:val="20"/>
                <w:szCs w:val="20"/>
              </w:rPr>
              <w:t>- a</w:t>
            </w:r>
            <w:r w:rsidRPr="00F17E02">
              <w:rPr>
                <w:rFonts w:asciiTheme="minorHAnsi" w:hAnsiTheme="minorHAnsi" w:cs="Arial"/>
                <w:bCs/>
                <w:sz w:val="20"/>
                <w:szCs w:val="20"/>
              </w:rPr>
              <w:t>nalytics per la Gestione dei talenti</w:t>
            </w:r>
          </w:p>
          <w:p w14:paraId="6286286F" w14:textId="77777777" w:rsidR="00306930" w:rsidRPr="00F17E02" w:rsidRDefault="00306930" w:rsidP="00C65594">
            <w:pPr>
              <w:jc w:val="both"/>
              <w:rPr>
                <w:rFonts w:asciiTheme="minorHAnsi" w:hAnsiTheme="minorHAnsi" w:cs="Arial"/>
                <w:bCs/>
                <w:sz w:val="20"/>
                <w:szCs w:val="20"/>
              </w:rPr>
            </w:pPr>
            <w:r>
              <w:rPr>
                <w:rFonts w:asciiTheme="minorHAnsi" w:hAnsiTheme="minorHAnsi" w:cs="Arial"/>
                <w:bCs/>
                <w:sz w:val="20"/>
                <w:szCs w:val="20"/>
              </w:rPr>
              <w:t xml:space="preserve">- </w:t>
            </w:r>
            <w:r w:rsidRPr="00F17E02">
              <w:rPr>
                <w:rFonts w:asciiTheme="minorHAnsi" w:hAnsiTheme="minorHAnsi" w:cs="Arial"/>
                <w:bCs/>
                <w:sz w:val="20"/>
                <w:szCs w:val="20"/>
              </w:rPr>
              <w:t>Recruiting delle risorse nel contesto della trasformazione digitale</w:t>
            </w:r>
          </w:p>
          <w:p w14:paraId="4FCA1AB7" w14:textId="77777777" w:rsidR="00306930" w:rsidRPr="00F17E02" w:rsidRDefault="00306930" w:rsidP="00C65594">
            <w:pPr>
              <w:jc w:val="both"/>
              <w:rPr>
                <w:rFonts w:asciiTheme="minorHAnsi" w:hAnsiTheme="minorHAnsi" w:cs="Arial"/>
                <w:bCs/>
                <w:sz w:val="20"/>
                <w:szCs w:val="20"/>
              </w:rPr>
            </w:pPr>
            <w:r>
              <w:rPr>
                <w:rFonts w:asciiTheme="minorHAnsi" w:hAnsiTheme="minorHAnsi" w:cs="Arial"/>
                <w:bCs/>
                <w:sz w:val="20"/>
                <w:szCs w:val="20"/>
              </w:rPr>
              <w:t xml:space="preserve">- </w:t>
            </w:r>
            <w:r w:rsidRPr="00F17E02">
              <w:rPr>
                <w:rFonts w:asciiTheme="minorHAnsi" w:hAnsiTheme="minorHAnsi" w:cs="Arial"/>
                <w:bCs/>
                <w:sz w:val="20"/>
                <w:szCs w:val="20"/>
              </w:rPr>
              <w:t>Inclusione e Diversità nel contesto dei modelli di delivery per la trasformazione digitale</w:t>
            </w:r>
          </w:p>
          <w:p w14:paraId="176FCA01" w14:textId="77777777" w:rsidR="00306930" w:rsidRPr="008D1A51" w:rsidRDefault="00306930" w:rsidP="00C65594">
            <w:pPr>
              <w:jc w:val="both"/>
              <w:rPr>
                <w:rFonts w:asciiTheme="minorHAnsi" w:hAnsiTheme="minorHAnsi" w:cs="Arial"/>
                <w:bCs/>
                <w:sz w:val="20"/>
                <w:szCs w:val="20"/>
                <w:lang w:val="en-US"/>
              </w:rPr>
            </w:pPr>
            <w:r w:rsidRPr="008D1A51">
              <w:rPr>
                <w:rFonts w:asciiTheme="minorHAnsi" w:hAnsiTheme="minorHAnsi" w:cs="Arial"/>
                <w:bCs/>
                <w:sz w:val="20"/>
                <w:szCs w:val="20"/>
                <w:lang w:val="en-US"/>
              </w:rPr>
              <w:t>- Learning e Develpoment delle risorse</w:t>
            </w:r>
          </w:p>
          <w:p w14:paraId="36A554F1" w14:textId="77777777" w:rsidR="00306930" w:rsidRPr="008D1A51" w:rsidRDefault="00306930" w:rsidP="00C65594">
            <w:pPr>
              <w:jc w:val="both"/>
              <w:rPr>
                <w:rFonts w:asciiTheme="minorHAnsi" w:hAnsiTheme="minorHAnsi" w:cs="Arial"/>
                <w:bCs/>
                <w:sz w:val="20"/>
                <w:szCs w:val="20"/>
                <w:lang w:val="en-US"/>
              </w:rPr>
            </w:pPr>
            <w:r w:rsidRPr="008D1A51">
              <w:rPr>
                <w:rFonts w:asciiTheme="minorHAnsi" w:hAnsiTheme="minorHAnsi" w:cs="Arial"/>
                <w:bCs/>
                <w:sz w:val="20"/>
                <w:szCs w:val="20"/>
                <w:lang w:val="en-US"/>
              </w:rPr>
              <w:t xml:space="preserve">- </w:t>
            </w:r>
            <w:r w:rsidRPr="00F17E02">
              <w:rPr>
                <w:rFonts w:asciiTheme="minorHAnsi" w:hAnsiTheme="minorHAnsi" w:cs="Arial"/>
                <w:bCs/>
                <w:sz w:val="20"/>
                <w:szCs w:val="20"/>
                <w:lang w:val="en-US"/>
              </w:rPr>
              <w:t>Business Alignment per HR ed IT</w:t>
            </w:r>
          </w:p>
        </w:tc>
        <w:tc>
          <w:tcPr>
            <w:tcW w:w="702" w:type="dxa"/>
            <w:shd w:val="clear" w:color="auto" w:fill="auto"/>
          </w:tcPr>
          <w:p w14:paraId="7FB86D73" w14:textId="77777777" w:rsidR="00306930" w:rsidRPr="00F17E02" w:rsidRDefault="00306930" w:rsidP="00C65594">
            <w:pPr>
              <w:spacing w:line="360" w:lineRule="auto"/>
              <w:jc w:val="both"/>
              <w:rPr>
                <w:rFonts w:asciiTheme="minorHAnsi" w:hAnsiTheme="minorHAnsi" w:cs="Arial"/>
                <w:bCs/>
                <w:i/>
                <w:sz w:val="20"/>
                <w:szCs w:val="20"/>
                <w:highlight w:val="green"/>
                <w:lang w:val="en-US"/>
              </w:rPr>
            </w:pPr>
          </w:p>
        </w:tc>
      </w:tr>
      <w:tr w:rsidR="00306930" w:rsidRPr="00733A0A" w14:paraId="3D6F040F" w14:textId="77777777" w:rsidTr="00C65594">
        <w:tc>
          <w:tcPr>
            <w:tcW w:w="1246" w:type="dxa"/>
            <w:vMerge/>
            <w:shd w:val="clear" w:color="auto" w:fill="auto"/>
            <w:vAlign w:val="center"/>
          </w:tcPr>
          <w:p w14:paraId="353952BA" w14:textId="77777777" w:rsidR="00306930" w:rsidRPr="00F17E02" w:rsidRDefault="00306930" w:rsidP="00C65594">
            <w:pPr>
              <w:spacing w:line="360" w:lineRule="auto"/>
              <w:rPr>
                <w:rFonts w:asciiTheme="minorHAnsi" w:hAnsiTheme="minorHAnsi" w:cs="Arial"/>
                <w:bCs/>
                <w:i/>
                <w:sz w:val="20"/>
                <w:szCs w:val="20"/>
                <w:highlight w:val="green"/>
                <w:lang w:val="en-US"/>
              </w:rPr>
            </w:pPr>
          </w:p>
        </w:tc>
        <w:tc>
          <w:tcPr>
            <w:tcW w:w="5831" w:type="dxa"/>
            <w:shd w:val="clear" w:color="auto" w:fill="auto"/>
            <w:vAlign w:val="center"/>
          </w:tcPr>
          <w:p w14:paraId="73277ED6" w14:textId="77777777" w:rsidR="00306930" w:rsidRPr="00733A0A" w:rsidRDefault="00306930" w:rsidP="00C65594">
            <w:pPr>
              <w:jc w:val="both"/>
              <w:rPr>
                <w:rFonts w:asciiTheme="minorHAnsi" w:hAnsiTheme="minorHAnsi" w:cs="Arial"/>
                <w:bCs/>
                <w:sz w:val="20"/>
                <w:szCs w:val="20"/>
              </w:rPr>
            </w:pPr>
            <w:r w:rsidRPr="00733A0A">
              <w:rPr>
                <w:rFonts w:asciiTheme="minorHAnsi" w:hAnsiTheme="minorHAnsi" w:cs="Arial"/>
                <w:bCs/>
                <w:sz w:val="20"/>
                <w:szCs w:val="20"/>
              </w:rPr>
              <w:t>Tool on-line interattivi per l’accesso a metriche di spending HR</w:t>
            </w:r>
          </w:p>
        </w:tc>
        <w:tc>
          <w:tcPr>
            <w:tcW w:w="702" w:type="dxa"/>
            <w:shd w:val="clear" w:color="auto" w:fill="auto"/>
          </w:tcPr>
          <w:p w14:paraId="4D39CCB4"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r w:rsidR="00306930" w:rsidRPr="00733A0A" w14:paraId="29B03B73" w14:textId="77777777" w:rsidTr="00C65594">
        <w:tc>
          <w:tcPr>
            <w:tcW w:w="1246" w:type="dxa"/>
            <w:vMerge/>
            <w:shd w:val="clear" w:color="auto" w:fill="auto"/>
            <w:vAlign w:val="center"/>
          </w:tcPr>
          <w:p w14:paraId="66FB9827" w14:textId="77777777" w:rsidR="00306930" w:rsidRPr="00733A0A" w:rsidRDefault="00306930" w:rsidP="00C65594">
            <w:pPr>
              <w:spacing w:line="360" w:lineRule="auto"/>
              <w:rPr>
                <w:rFonts w:asciiTheme="minorHAnsi" w:hAnsiTheme="minorHAnsi" w:cs="Arial"/>
                <w:bCs/>
                <w:i/>
                <w:sz w:val="20"/>
                <w:szCs w:val="20"/>
                <w:highlight w:val="green"/>
              </w:rPr>
            </w:pPr>
          </w:p>
        </w:tc>
        <w:tc>
          <w:tcPr>
            <w:tcW w:w="5831" w:type="dxa"/>
            <w:shd w:val="clear" w:color="auto" w:fill="auto"/>
            <w:vAlign w:val="center"/>
          </w:tcPr>
          <w:p w14:paraId="5D08EECD" w14:textId="77777777" w:rsidR="00306930" w:rsidRPr="00733A0A" w:rsidRDefault="00306930" w:rsidP="00C65594">
            <w:pPr>
              <w:jc w:val="both"/>
              <w:rPr>
                <w:rFonts w:asciiTheme="minorHAnsi" w:hAnsiTheme="minorHAnsi" w:cs="Arial"/>
                <w:sz w:val="20"/>
                <w:szCs w:val="20"/>
              </w:rPr>
            </w:pPr>
            <w:r w:rsidRPr="00733A0A">
              <w:rPr>
                <w:rFonts w:asciiTheme="minorHAnsi" w:hAnsiTheme="minorHAnsi" w:cs="Arial"/>
                <w:sz w:val="20"/>
                <w:szCs w:val="20"/>
              </w:rPr>
              <w:t>Tool on-line interattivo per l’accesso a metriche di staffing di sottofunzioni quali: Gestione talenti , gestione sviluppo e training, processi amministrativi hr, gestione recruiting risorse</w:t>
            </w:r>
          </w:p>
        </w:tc>
        <w:tc>
          <w:tcPr>
            <w:tcW w:w="702" w:type="dxa"/>
            <w:shd w:val="clear" w:color="auto" w:fill="auto"/>
          </w:tcPr>
          <w:p w14:paraId="3ABE181F" w14:textId="77777777" w:rsidR="00306930" w:rsidRPr="00733A0A" w:rsidRDefault="00306930" w:rsidP="00C65594">
            <w:pPr>
              <w:spacing w:line="360" w:lineRule="auto"/>
              <w:jc w:val="both"/>
              <w:rPr>
                <w:rFonts w:asciiTheme="minorHAnsi" w:hAnsiTheme="minorHAnsi" w:cs="Arial"/>
                <w:bCs/>
                <w:i/>
                <w:sz w:val="20"/>
                <w:szCs w:val="20"/>
                <w:highlight w:val="green"/>
              </w:rPr>
            </w:pPr>
          </w:p>
        </w:tc>
      </w:tr>
    </w:tbl>
    <w:p w14:paraId="7BB1F791" w14:textId="5635F7C2" w:rsidR="00306930" w:rsidRDefault="00306930">
      <w:pPr>
        <w:spacing w:line="276" w:lineRule="auto"/>
        <w:jc w:val="both"/>
        <w:rPr>
          <w:rFonts w:asciiTheme="minorHAnsi" w:hAnsiTheme="minorHAnsi" w:cs="Arial"/>
          <w:bCs/>
          <w:sz w:val="20"/>
          <w:szCs w:val="20"/>
        </w:rPr>
      </w:pPr>
    </w:p>
    <w:p w14:paraId="2332B5C8" w14:textId="0548313B" w:rsidR="00CB4B7E" w:rsidRPr="00A73C80" w:rsidRDefault="00CB4B7E" w:rsidP="00CB4B7E">
      <w:pPr>
        <w:numPr>
          <w:ilvl w:val="0"/>
          <w:numId w:val="5"/>
        </w:numPr>
        <w:jc w:val="both"/>
        <w:rPr>
          <w:rFonts w:asciiTheme="minorHAnsi" w:hAnsiTheme="minorHAnsi" w:cs="Arial"/>
          <w:bCs/>
          <w:sz w:val="20"/>
          <w:szCs w:val="20"/>
        </w:rPr>
      </w:pPr>
      <w:r w:rsidRPr="00A73C80">
        <w:rPr>
          <w:rFonts w:asciiTheme="minorHAnsi" w:hAnsiTheme="minorHAnsi" w:cs="Arial"/>
          <w:bCs/>
          <w:sz w:val="20"/>
          <w:szCs w:val="20"/>
        </w:rPr>
        <w:t xml:space="preserve">Sulla base </w:t>
      </w:r>
      <w:r>
        <w:rPr>
          <w:rFonts w:asciiTheme="minorHAnsi" w:hAnsiTheme="minorHAnsi" w:cs="Arial"/>
          <w:bCs/>
          <w:sz w:val="20"/>
          <w:szCs w:val="20"/>
        </w:rPr>
        <w:t xml:space="preserve">delle esigenze formative, </w:t>
      </w:r>
      <w:r w:rsidRPr="00A73C80">
        <w:rPr>
          <w:rFonts w:asciiTheme="minorHAnsi" w:hAnsiTheme="minorHAnsi" w:cs="Arial"/>
          <w:bCs/>
          <w:sz w:val="20"/>
          <w:szCs w:val="20"/>
        </w:rPr>
        <w:t xml:space="preserve">l’Azienda è in grado di </w:t>
      </w:r>
      <w:r>
        <w:rPr>
          <w:rFonts w:asciiTheme="minorHAnsi" w:hAnsiTheme="minorHAnsi" w:cs="Arial"/>
          <w:bCs/>
          <w:sz w:val="20"/>
          <w:szCs w:val="20"/>
        </w:rPr>
        <w:t xml:space="preserve">garantire la partecipazione di personale Sogei a eventi, svolti anche on line, con le seguenti caratteristiche ? </w:t>
      </w:r>
      <w:r w:rsidRPr="009C3388">
        <w:rPr>
          <w:rFonts w:asciiTheme="minorHAnsi" w:hAnsiTheme="minorHAnsi" w:cs="Arial"/>
          <w:bCs/>
          <w:sz w:val="20"/>
          <w:szCs w:val="20"/>
        </w:rPr>
        <w:t xml:space="preserve"> </w:t>
      </w:r>
      <w:r w:rsidRPr="00495574">
        <w:rPr>
          <w:rFonts w:asciiTheme="minorHAnsi" w:hAnsiTheme="minorHAnsi" w:cs="Arial"/>
          <w:bCs/>
          <w:sz w:val="20"/>
          <w:szCs w:val="20"/>
        </w:rPr>
        <w:t>Qualora la ricerca indicata non s</w:t>
      </w:r>
      <w:r>
        <w:rPr>
          <w:rFonts w:asciiTheme="minorHAnsi" w:hAnsiTheme="minorHAnsi" w:cs="Arial"/>
          <w:bCs/>
          <w:sz w:val="20"/>
          <w:szCs w:val="20"/>
        </w:rPr>
        <w:t>ia disponibile, indicare “N.D.”</w:t>
      </w:r>
    </w:p>
    <w:p w14:paraId="6B749119" w14:textId="77777777" w:rsidR="00CB4B7E" w:rsidRPr="00002057" w:rsidRDefault="00CB4B7E" w:rsidP="00CB4B7E">
      <w:pPr>
        <w:pStyle w:val="Titolo1"/>
        <w:numPr>
          <w:ilvl w:val="0"/>
          <w:numId w:val="0"/>
        </w:numPr>
        <w:rPr>
          <w:rFonts w:ascii="Calibri" w:hAnsi="Calibri"/>
          <w:szCs w:val="22"/>
        </w:rPr>
      </w:pPr>
      <w:r w:rsidRPr="00002057">
        <w:rPr>
          <w:rFonts w:ascii="Calibri" w:hAnsi="Calibri"/>
          <w:szCs w:val="22"/>
        </w:rPr>
        <w:t>Risposta (barrare con una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5636"/>
        <w:gridCol w:w="709"/>
      </w:tblGrid>
      <w:tr w:rsidR="00CB4B7E" w:rsidRPr="00F55F63" w14:paraId="5A7316A2" w14:textId="77777777" w:rsidTr="00927166">
        <w:tc>
          <w:tcPr>
            <w:tcW w:w="1192" w:type="dxa"/>
            <w:tcBorders>
              <w:top w:val="nil"/>
              <w:left w:val="nil"/>
              <w:bottom w:val="single" w:sz="4" w:space="0" w:color="auto"/>
              <w:right w:val="nil"/>
            </w:tcBorders>
            <w:shd w:val="clear" w:color="auto" w:fill="auto"/>
            <w:vAlign w:val="center"/>
          </w:tcPr>
          <w:p w14:paraId="052064EC" w14:textId="77777777" w:rsidR="00CB4B7E" w:rsidRPr="00F06EAE" w:rsidRDefault="00CB4B7E" w:rsidP="00C65594">
            <w:pPr>
              <w:spacing w:line="360" w:lineRule="auto"/>
              <w:rPr>
                <w:rFonts w:asciiTheme="minorHAnsi" w:hAnsiTheme="minorHAnsi" w:cs="Arial"/>
                <w:b/>
                <w:sz w:val="20"/>
                <w:szCs w:val="20"/>
              </w:rPr>
            </w:pPr>
          </w:p>
        </w:tc>
        <w:tc>
          <w:tcPr>
            <w:tcW w:w="5636" w:type="dxa"/>
            <w:tcBorders>
              <w:top w:val="nil"/>
              <w:left w:val="nil"/>
              <w:bottom w:val="single" w:sz="4" w:space="0" w:color="auto"/>
              <w:right w:val="single" w:sz="4" w:space="0" w:color="auto"/>
            </w:tcBorders>
            <w:shd w:val="clear" w:color="auto" w:fill="auto"/>
            <w:vAlign w:val="center"/>
          </w:tcPr>
          <w:p w14:paraId="46CC6655" w14:textId="77777777" w:rsidR="00CB4B7E" w:rsidRPr="00F55F63" w:rsidRDefault="00CB4B7E" w:rsidP="00C65594">
            <w:pPr>
              <w:jc w:val="both"/>
              <w:rPr>
                <w:rFonts w:asciiTheme="minorHAnsi" w:hAnsiTheme="minorHAnsi" w:cs="Arial"/>
                <w:sz w:val="20"/>
                <w:szCs w:val="20"/>
              </w:rPr>
            </w:pPr>
          </w:p>
        </w:tc>
        <w:tc>
          <w:tcPr>
            <w:tcW w:w="709" w:type="dxa"/>
            <w:tcBorders>
              <w:left w:val="single" w:sz="4" w:space="0" w:color="auto"/>
            </w:tcBorders>
            <w:shd w:val="clear" w:color="auto" w:fill="auto"/>
          </w:tcPr>
          <w:p w14:paraId="2A7EB85A" w14:textId="77777777" w:rsidR="00CB4B7E" w:rsidRPr="004A6BE5" w:rsidRDefault="00CB4B7E" w:rsidP="00C65594">
            <w:pPr>
              <w:spacing w:line="360" w:lineRule="auto"/>
              <w:jc w:val="center"/>
              <w:rPr>
                <w:rFonts w:asciiTheme="minorHAnsi" w:hAnsiTheme="minorHAnsi" w:cs="Arial"/>
                <w:b/>
                <w:bCs/>
                <w:sz w:val="20"/>
                <w:szCs w:val="20"/>
              </w:rPr>
            </w:pPr>
            <w:r w:rsidRPr="004A6BE5">
              <w:rPr>
                <w:rFonts w:asciiTheme="minorHAnsi" w:hAnsiTheme="minorHAnsi" w:cs="Arial"/>
                <w:b/>
                <w:bCs/>
                <w:szCs w:val="20"/>
              </w:rPr>
              <w:t>Sì</w:t>
            </w:r>
          </w:p>
        </w:tc>
      </w:tr>
      <w:tr w:rsidR="00CB4B7E" w:rsidRPr="00F55F63" w14:paraId="7B4A0CD5" w14:textId="77777777" w:rsidTr="00927166">
        <w:tc>
          <w:tcPr>
            <w:tcW w:w="1192" w:type="dxa"/>
            <w:vMerge w:val="restart"/>
            <w:tcBorders>
              <w:top w:val="single" w:sz="4" w:space="0" w:color="auto"/>
            </w:tcBorders>
            <w:shd w:val="clear" w:color="auto" w:fill="auto"/>
            <w:vAlign w:val="center"/>
          </w:tcPr>
          <w:p w14:paraId="0C3818B3" w14:textId="17AE54CA" w:rsidR="00CB4B7E" w:rsidRPr="00F55F63" w:rsidRDefault="00CB4B7E" w:rsidP="00C65594">
            <w:pPr>
              <w:spacing w:line="360" w:lineRule="auto"/>
              <w:rPr>
                <w:rFonts w:asciiTheme="minorHAnsi" w:hAnsiTheme="minorHAnsi" w:cs="Arial"/>
                <w:b/>
                <w:sz w:val="20"/>
                <w:szCs w:val="20"/>
                <w:lang w:val="en-US"/>
              </w:rPr>
            </w:pPr>
            <w:r>
              <w:rPr>
                <w:rFonts w:asciiTheme="minorHAnsi" w:hAnsiTheme="minorHAnsi" w:cs="Arial"/>
                <w:b/>
                <w:sz w:val="20"/>
                <w:szCs w:val="20"/>
                <w:lang w:val="en-US"/>
              </w:rPr>
              <w:t>Formazione ed eventi</w:t>
            </w:r>
          </w:p>
        </w:tc>
        <w:tc>
          <w:tcPr>
            <w:tcW w:w="5636" w:type="dxa"/>
            <w:tcBorders>
              <w:top w:val="single" w:sz="4" w:space="0" w:color="auto"/>
            </w:tcBorders>
            <w:shd w:val="clear" w:color="auto" w:fill="auto"/>
            <w:vAlign w:val="center"/>
          </w:tcPr>
          <w:p w14:paraId="5F184851" w14:textId="434BB159" w:rsidR="00CB4B7E" w:rsidRPr="00F55F63" w:rsidRDefault="00CB4B7E" w:rsidP="00C65594">
            <w:pPr>
              <w:jc w:val="both"/>
              <w:rPr>
                <w:rFonts w:asciiTheme="minorHAnsi" w:hAnsiTheme="minorHAnsi" w:cs="Arial"/>
                <w:bCs/>
                <w:i/>
                <w:sz w:val="20"/>
                <w:szCs w:val="20"/>
              </w:rPr>
            </w:pPr>
            <w:r w:rsidRPr="00CB4B7E">
              <w:rPr>
                <w:rFonts w:asciiTheme="minorHAnsi" w:hAnsiTheme="minorHAnsi" w:cs="Arial"/>
                <w:sz w:val="20"/>
                <w:szCs w:val="20"/>
              </w:rPr>
              <w:t>Un Evento internazionale all’anno dedicato ai CIO e agli IT Executive europei che dovrà avere una durata di almeno quattro giorni</w:t>
            </w:r>
            <w:r w:rsidRPr="001842CF">
              <w:rPr>
                <w:rFonts w:asciiTheme="minorHAnsi" w:hAnsiTheme="minorHAnsi" w:cs="Arial"/>
                <w:sz w:val="20"/>
                <w:szCs w:val="20"/>
              </w:rPr>
              <w:t>.</w:t>
            </w:r>
          </w:p>
        </w:tc>
        <w:tc>
          <w:tcPr>
            <w:tcW w:w="709" w:type="dxa"/>
            <w:shd w:val="clear" w:color="auto" w:fill="auto"/>
          </w:tcPr>
          <w:p w14:paraId="419B3B98" w14:textId="77777777" w:rsidR="00CB4B7E" w:rsidRPr="00F55F63" w:rsidRDefault="00CB4B7E" w:rsidP="00C65594">
            <w:pPr>
              <w:spacing w:line="360" w:lineRule="auto"/>
              <w:jc w:val="both"/>
              <w:rPr>
                <w:rFonts w:asciiTheme="minorHAnsi" w:hAnsiTheme="minorHAnsi" w:cs="Arial"/>
                <w:bCs/>
                <w:i/>
                <w:sz w:val="20"/>
                <w:szCs w:val="20"/>
                <w:highlight w:val="green"/>
              </w:rPr>
            </w:pPr>
          </w:p>
        </w:tc>
      </w:tr>
      <w:tr w:rsidR="00CB4B7E" w:rsidRPr="00F55F63" w14:paraId="167D2103" w14:textId="77777777" w:rsidTr="00927166">
        <w:tc>
          <w:tcPr>
            <w:tcW w:w="1192" w:type="dxa"/>
            <w:vMerge/>
            <w:shd w:val="clear" w:color="auto" w:fill="auto"/>
            <w:vAlign w:val="center"/>
          </w:tcPr>
          <w:p w14:paraId="62DB46AE" w14:textId="77777777" w:rsidR="00CB4B7E" w:rsidRPr="00CB5A51" w:rsidRDefault="00CB4B7E" w:rsidP="00C65594">
            <w:pPr>
              <w:spacing w:line="360" w:lineRule="auto"/>
              <w:rPr>
                <w:rFonts w:asciiTheme="minorHAnsi" w:hAnsiTheme="minorHAnsi" w:cs="Arial"/>
                <w:b/>
                <w:sz w:val="20"/>
                <w:szCs w:val="20"/>
              </w:rPr>
            </w:pPr>
          </w:p>
        </w:tc>
        <w:tc>
          <w:tcPr>
            <w:tcW w:w="5636" w:type="dxa"/>
            <w:tcBorders>
              <w:top w:val="single" w:sz="4" w:space="0" w:color="auto"/>
            </w:tcBorders>
            <w:shd w:val="clear" w:color="auto" w:fill="auto"/>
            <w:vAlign w:val="center"/>
          </w:tcPr>
          <w:p w14:paraId="484D536E" w14:textId="5FD24DBC" w:rsidR="00CB4B7E" w:rsidRPr="00F55F63" w:rsidRDefault="00CB4B7E" w:rsidP="00C65594">
            <w:pPr>
              <w:jc w:val="both"/>
              <w:rPr>
                <w:rFonts w:asciiTheme="minorHAnsi" w:hAnsiTheme="minorHAnsi" w:cs="Arial"/>
                <w:sz w:val="20"/>
                <w:szCs w:val="20"/>
              </w:rPr>
            </w:pPr>
            <w:r w:rsidRPr="00CB4B7E">
              <w:rPr>
                <w:rFonts w:asciiTheme="minorHAnsi" w:hAnsiTheme="minorHAnsi" w:cs="Arial"/>
                <w:sz w:val="20"/>
                <w:szCs w:val="20"/>
              </w:rPr>
              <w:t>Un Evento internazionale all’anno dedicato ai soli CIO Europei della durata di almeno due giorni</w:t>
            </w:r>
          </w:p>
        </w:tc>
        <w:tc>
          <w:tcPr>
            <w:tcW w:w="709" w:type="dxa"/>
            <w:shd w:val="clear" w:color="auto" w:fill="auto"/>
          </w:tcPr>
          <w:p w14:paraId="59867681" w14:textId="77777777" w:rsidR="00CB4B7E" w:rsidRPr="00F55F63" w:rsidRDefault="00CB4B7E" w:rsidP="00C65594">
            <w:pPr>
              <w:spacing w:line="360" w:lineRule="auto"/>
              <w:jc w:val="both"/>
              <w:rPr>
                <w:rFonts w:asciiTheme="minorHAnsi" w:hAnsiTheme="minorHAnsi" w:cs="Arial"/>
                <w:bCs/>
                <w:i/>
                <w:sz w:val="20"/>
                <w:szCs w:val="20"/>
                <w:highlight w:val="green"/>
              </w:rPr>
            </w:pPr>
          </w:p>
        </w:tc>
      </w:tr>
      <w:tr w:rsidR="00CB4B7E" w:rsidRPr="00F55F63" w14:paraId="214C16A7" w14:textId="77777777" w:rsidTr="00927166">
        <w:tc>
          <w:tcPr>
            <w:tcW w:w="1192" w:type="dxa"/>
            <w:vMerge/>
            <w:shd w:val="clear" w:color="auto" w:fill="auto"/>
          </w:tcPr>
          <w:p w14:paraId="59682404" w14:textId="77777777" w:rsidR="00CB4B7E" w:rsidRPr="00F55F63" w:rsidRDefault="00CB4B7E"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0B3A8293" w14:textId="55550F32" w:rsidR="00CB4B7E" w:rsidRPr="00F55F63" w:rsidRDefault="00CB4B7E" w:rsidP="00C65594">
            <w:pPr>
              <w:jc w:val="both"/>
              <w:rPr>
                <w:rFonts w:asciiTheme="minorHAnsi" w:hAnsiTheme="minorHAnsi" w:cs="Arial"/>
                <w:sz w:val="20"/>
                <w:szCs w:val="20"/>
              </w:rPr>
            </w:pPr>
            <w:r w:rsidRPr="00CB4B7E">
              <w:rPr>
                <w:rFonts w:asciiTheme="minorHAnsi" w:hAnsiTheme="minorHAnsi" w:cs="Arial"/>
                <w:sz w:val="20"/>
                <w:szCs w:val="20"/>
              </w:rPr>
              <w:t>Un Evento Italiano all’anno dedicato ai CIO e agli IT Executive delle principali Aziende e Amministrazioni italiane della durata di almeno due giorn</w:t>
            </w:r>
            <w:r>
              <w:rPr>
                <w:rFonts w:asciiTheme="minorHAnsi" w:hAnsiTheme="minorHAnsi" w:cs="Arial"/>
                <w:sz w:val="20"/>
                <w:szCs w:val="20"/>
              </w:rPr>
              <w:t>i</w:t>
            </w:r>
          </w:p>
        </w:tc>
        <w:tc>
          <w:tcPr>
            <w:tcW w:w="709" w:type="dxa"/>
            <w:shd w:val="clear" w:color="auto" w:fill="auto"/>
          </w:tcPr>
          <w:p w14:paraId="5EB00210" w14:textId="77777777" w:rsidR="00CB4B7E" w:rsidRPr="00F55F63" w:rsidRDefault="00CB4B7E" w:rsidP="00C65594">
            <w:pPr>
              <w:spacing w:line="360" w:lineRule="auto"/>
              <w:jc w:val="both"/>
              <w:rPr>
                <w:rFonts w:asciiTheme="minorHAnsi" w:hAnsiTheme="minorHAnsi" w:cs="Arial"/>
                <w:bCs/>
                <w:i/>
                <w:sz w:val="20"/>
                <w:szCs w:val="20"/>
                <w:highlight w:val="green"/>
              </w:rPr>
            </w:pPr>
          </w:p>
        </w:tc>
      </w:tr>
      <w:tr w:rsidR="00CB4B7E" w:rsidRPr="00F55F63" w14:paraId="1652E4D8" w14:textId="77777777" w:rsidTr="00927166">
        <w:tc>
          <w:tcPr>
            <w:tcW w:w="1192" w:type="dxa"/>
            <w:vMerge/>
            <w:shd w:val="clear" w:color="auto" w:fill="auto"/>
          </w:tcPr>
          <w:p w14:paraId="7F0DBB4A" w14:textId="77777777" w:rsidR="00CB4B7E" w:rsidRPr="00F55F63" w:rsidRDefault="00CB4B7E"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67F9169C" w14:textId="77777777" w:rsidR="00CB4B7E" w:rsidRPr="00CB4B7E" w:rsidRDefault="00CB4B7E" w:rsidP="00CB4B7E">
            <w:pPr>
              <w:jc w:val="both"/>
              <w:rPr>
                <w:rFonts w:asciiTheme="minorHAnsi" w:hAnsiTheme="minorHAnsi" w:cs="Arial"/>
                <w:sz w:val="20"/>
                <w:szCs w:val="20"/>
              </w:rPr>
            </w:pPr>
            <w:r w:rsidRPr="00CB4B7E">
              <w:rPr>
                <w:rFonts w:asciiTheme="minorHAnsi" w:hAnsiTheme="minorHAnsi" w:cs="Arial"/>
                <w:sz w:val="20"/>
                <w:szCs w:val="20"/>
              </w:rPr>
              <w:t>Per ognuno dei seguenti ambiti l’Azienda dovrà garantire almeno un Evento annuale della durata di almeno due giorni:</w:t>
            </w:r>
          </w:p>
          <w:p w14:paraId="59E54BEB" w14:textId="63315BA3" w:rsidR="00CB4B7E" w:rsidRPr="00CB4B7E" w:rsidRDefault="00CB4B7E" w:rsidP="00CB4B7E">
            <w:pPr>
              <w:pStyle w:val="Paragrafoelenco"/>
              <w:numPr>
                <w:ilvl w:val="0"/>
                <w:numId w:val="16"/>
              </w:numPr>
              <w:jc w:val="both"/>
              <w:rPr>
                <w:rFonts w:asciiTheme="minorHAnsi" w:hAnsiTheme="minorHAnsi" w:cs="Arial"/>
                <w:sz w:val="20"/>
                <w:szCs w:val="20"/>
                <w:lang w:val="en-US"/>
              </w:rPr>
            </w:pPr>
            <w:r w:rsidRPr="00CB4B7E">
              <w:rPr>
                <w:rFonts w:asciiTheme="minorHAnsi" w:hAnsiTheme="minorHAnsi" w:cs="Arial"/>
                <w:sz w:val="20"/>
                <w:szCs w:val="20"/>
                <w:lang w:val="en-US"/>
              </w:rPr>
              <w:t>Identity and Access Management</w:t>
            </w:r>
          </w:p>
          <w:p w14:paraId="4C9E49C4" w14:textId="34BC669A" w:rsidR="00CB4B7E" w:rsidRPr="00CB4B7E" w:rsidRDefault="00CB4B7E" w:rsidP="00CB4B7E">
            <w:pPr>
              <w:pStyle w:val="Paragrafoelenco"/>
              <w:numPr>
                <w:ilvl w:val="0"/>
                <w:numId w:val="16"/>
              </w:numPr>
              <w:jc w:val="both"/>
              <w:rPr>
                <w:rFonts w:asciiTheme="minorHAnsi" w:hAnsiTheme="minorHAnsi" w:cs="Arial"/>
                <w:sz w:val="20"/>
                <w:szCs w:val="20"/>
                <w:lang w:val="en-US"/>
              </w:rPr>
            </w:pPr>
            <w:r w:rsidRPr="00CB4B7E">
              <w:rPr>
                <w:rFonts w:asciiTheme="minorHAnsi" w:hAnsiTheme="minorHAnsi" w:cs="Arial"/>
                <w:sz w:val="20"/>
                <w:szCs w:val="20"/>
                <w:lang w:val="en-US"/>
              </w:rPr>
              <w:t>Data and Analytics</w:t>
            </w:r>
          </w:p>
          <w:p w14:paraId="6F80C469" w14:textId="72E77C2E" w:rsidR="00CB4B7E" w:rsidRPr="00CB4B7E" w:rsidRDefault="00CB4B7E" w:rsidP="00CB4B7E">
            <w:pPr>
              <w:pStyle w:val="Paragrafoelenco"/>
              <w:numPr>
                <w:ilvl w:val="0"/>
                <w:numId w:val="16"/>
              </w:numPr>
              <w:jc w:val="both"/>
              <w:rPr>
                <w:rFonts w:asciiTheme="minorHAnsi" w:hAnsiTheme="minorHAnsi" w:cs="Arial"/>
                <w:sz w:val="20"/>
                <w:szCs w:val="20"/>
                <w:lang w:val="en-US"/>
              </w:rPr>
            </w:pPr>
            <w:r w:rsidRPr="00CB4B7E">
              <w:rPr>
                <w:rFonts w:asciiTheme="minorHAnsi" w:hAnsiTheme="minorHAnsi" w:cs="Arial"/>
                <w:sz w:val="20"/>
                <w:szCs w:val="20"/>
                <w:lang w:val="en-US"/>
              </w:rPr>
              <w:t>Digital Workplace</w:t>
            </w:r>
          </w:p>
          <w:p w14:paraId="39FBD2AD" w14:textId="10C0E75F" w:rsidR="00CB4B7E" w:rsidRPr="00CB4B7E" w:rsidRDefault="00CB4B7E" w:rsidP="00CB4B7E">
            <w:pPr>
              <w:pStyle w:val="Paragrafoelenco"/>
              <w:numPr>
                <w:ilvl w:val="0"/>
                <w:numId w:val="16"/>
              </w:numPr>
              <w:jc w:val="both"/>
              <w:rPr>
                <w:rFonts w:asciiTheme="minorHAnsi" w:hAnsiTheme="minorHAnsi" w:cs="Arial"/>
                <w:sz w:val="20"/>
                <w:szCs w:val="20"/>
                <w:lang w:val="en-US"/>
              </w:rPr>
            </w:pPr>
            <w:r w:rsidRPr="00CB4B7E">
              <w:rPr>
                <w:rFonts w:asciiTheme="minorHAnsi" w:hAnsiTheme="minorHAnsi" w:cs="Arial"/>
                <w:sz w:val="20"/>
                <w:szCs w:val="20"/>
                <w:lang w:val="en-US"/>
              </w:rPr>
              <w:t>Security and Risk Management</w:t>
            </w:r>
          </w:p>
          <w:p w14:paraId="4CD6EFAE" w14:textId="0CCE0B4C" w:rsidR="00CB4B7E" w:rsidRPr="00CB4B7E" w:rsidRDefault="00CB4B7E" w:rsidP="00CB4B7E">
            <w:pPr>
              <w:pStyle w:val="Paragrafoelenco"/>
              <w:numPr>
                <w:ilvl w:val="0"/>
                <w:numId w:val="16"/>
              </w:numPr>
              <w:jc w:val="both"/>
              <w:rPr>
                <w:rFonts w:asciiTheme="minorHAnsi" w:hAnsiTheme="minorHAnsi" w:cs="Arial"/>
                <w:bCs/>
                <w:i/>
                <w:sz w:val="20"/>
                <w:szCs w:val="20"/>
              </w:rPr>
            </w:pPr>
            <w:r w:rsidRPr="00CB4B7E">
              <w:rPr>
                <w:rFonts w:asciiTheme="minorHAnsi" w:hAnsiTheme="minorHAnsi" w:cs="Arial"/>
                <w:sz w:val="20"/>
                <w:szCs w:val="20"/>
              </w:rPr>
              <w:t>5. IT Infrastructure and Cloud</w:t>
            </w:r>
          </w:p>
        </w:tc>
        <w:tc>
          <w:tcPr>
            <w:tcW w:w="709" w:type="dxa"/>
            <w:shd w:val="clear" w:color="auto" w:fill="auto"/>
          </w:tcPr>
          <w:p w14:paraId="6CB5D254" w14:textId="77777777" w:rsidR="00CB4B7E" w:rsidRPr="00F55F63" w:rsidRDefault="00CB4B7E" w:rsidP="00C65594">
            <w:pPr>
              <w:spacing w:line="360" w:lineRule="auto"/>
              <w:jc w:val="both"/>
              <w:rPr>
                <w:rFonts w:asciiTheme="minorHAnsi" w:hAnsiTheme="minorHAnsi" w:cs="Arial"/>
                <w:bCs/>
                <w:i/>
                <w:sz w:val="20"/>
                <w:szCs w:val="20"/>
                <w:highlight w:val="green"/>
              </w:rPr>
            </w:pPr>
          </w:p>
        </w:tc>
      </w:tr>
      <w:tr w:rsidR="00927166" w:rsidRPr="00F55F63" w14:paraId="7C83CB4D" w14:textId="77777777" w:rsidTr="00927166">
        <w:tc>
          <w:tcPr>
            <w:tcW w:w="1192" w:type="dxa"/>
            <w:vMerge/>
            <w:shd w:val="clear" w:color="auto" w:fill="auto"/>
          </w:tcPr>
          <w:p w14:paraId="456AFF0B" w14:textId="77777777" w:rsidR="00927166" w:rsidRPr="00F55F63" w:rsidRDefault="00927166"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34C72130" w14:textId="7365472D" w:rsidR="00927166" w:rsidRPr="00CB4B7E" w:rsidRDefault="00927166" w:rsidP="00CB4B7E">
            <w:pPr>
              <w:jc w:val="both"/>
              <w:rPr>
                <w:rFonts w:asciiTheme="minorHAnsi" w:hAnsiTheme="minorHAnsi" w:cs="Arial"/>
                <w:sz w:val="20"/>
                <w:szCs w:val="20"/>
              </w:rPr>
            </w:pPr>
            <w:r w:rsidRPr="00927166">
              <w:rPr>
                <w:rFonts w:asciiTheme="minorHAnsi" w:hAnsiTheme="minorHAnsi" w:cs="Arial"/>
                <w:sz w:val="20"/>
                <w:szCs w:val="20"/>
              </w:rPr>
              <w:t>un Evento Internazionale annuo della durata di almeno due giorni ed esclusivamente focalizzato su tematiche di tipo HR</w:t>
            </w:r>
          </w:p>
        </w:tc>
        <w:tc>
          <w:tcPr>
            <w:tcW w:w="709" w:type="dxa"/>
            <w:shd w:val="clear" w:color="auto" w:fill="auto"/>
          </w:tcPr>
          <w:p w14:paraId="56510042" w14:textId="77777777" w:rsidR="00927166" w:rsidRPr="00F55F63" w:rsidRDefault="00927166" w:rsidP="00C65594">
            <w:pPr>
              <w:spacing w:line="360" w:lineRule="auto"/>
              <w:jc w:val="both"/>
              <w:rPr>
                <w:rFonts w:asciiTheme="minorHAnsi" w:hAnsiTheme="minorHAnsi" w:cs="Arial"/>
                <w:bCs/>
                <w:i/>
                <w:sz w:val="20"/>
                <w:szCs w:val="20"/>
                <w:highlight w:val="green"/>
              </w:rPr>
            </w:pPr>
          </w:p>
        </w:tc>
      </w:tr>
      <w:tr w:rsidR="00CB4B7E" w:rsidRPr="00F55F63" w14:paraId="1189C880" w14:textId="77777777" w:rsidTr="00927166">
        <w:tc>
          <w:tcPr>
            <w:tcW w:w="1192" w:type="dxa"/>
            <w:vMerge/>
            <w:shd w:val="clear" w:color="auto" w:fill="auto"/>
          </w:tcPr>
          <w:p w14:paraId="4943F1AA" w14:textId="77777777" w:rsidR="00CB4B7E" w:rsidRPr="00F55F63" w:rsidRDefault="00CB4B7E" w:rsidP="00C65594">
            <w:pPr>
              <w:spacing w:line="360" w:lineRule="auto"/>
              <w:jc w:val="both"/>
              <w:rPr>
                <w:rFonts w:asciiTheme="minorHAnsi" w:hAnsiTheme="minorHAnsi" w:cs="Arial"/>
                <w:bCs/>
                <w:i/>
                <w:sz w:val="20"/>
                <w:szCs w:val="20"/>
                <w:highlight w:val="green"/>
              </w:rPr>
            </w:pPr>
          </w:p>
        </w:tc>
        <w:tc>
          <w:tcPr>
            <w:tcW w:w="5636" w:type="dxa"/>
            <w:shd w:val="clear" w:color="auto" w:fill="auto"/>
            <w:vAlign w:val="center"/>
          </w:tcPr>
          <w:p w14:paraId="4E9AF0B5" w14:textId="2B21A1E2" w:rsidR="00F85D74" w:rsidRPr="00CB4B7E" w:rsidRDefault="00F85D74" w:rsidP="00F613BA">
            <w:pPr>
              <w:jc w:val="both"/>
              <w:rPr>
                <w:rFonts w:asciiTheme="minorHAnsi" w:hAnsiTheme="minorHAnsi" w:cs="Arial"/>
                <w:sz w:val="20"/>
                <w:szCs w:val="20"/>
              </w:rPr>
            </w:pPr>
            <w:r>
              <w:rPr>
                <w:rFonts w:asciiTheme="minorHAnsi" w:hAnsiTheme="minorHAnsi" w:cs="Arial"/>
                <w:sz w:val="20"/>
                <w:szCs w:val="20"/>
              </w:rPr>
              <w:t xml:space="preserve">Disponibilità </w:t>
            </w:r>
            <w:r w:rsidRPr="00F85D74">
              <w:rPr>
                <w:rFonts w:asciiTheme="minorHAnsi" w:hAnsiTheme="minorHAnsi" w:cs="Arial"/>
                <w:sz w:val="20"/>
                <w:szCs w:val="20"/>
              </w:rPr>
              <w:t>di una unic</w:t>
            </w:r>
            <w:r>
              <w:rPr>
                <w:rFonts w:asciiTheme="minorHAnsi" w:hAnsiTheme="minorHAnsi" w:cs="Arial"/>
                <w:sz w:val="20"/>
                <w:szCs w:val="20"/>
              </w:rPr>
              <w:t>a “app nativa” per smartphones e t</w:t>
            </w:r>
            <w:r w:rsidRPr="00F85D74">
              <w:rPr>
                <w:rFonts w:asciiTheme="minorHAnsi" w:hAnsiTheme="minorHAnsi" w:cs="Arial"/>
                <w:sz w:val="20"/>
                <w:szCs w:val="20"/>
              </w:rPr>
              <w:t xml:space="preserve">ablet in cui l’utente potrà accedere con le credenziali di accesso alla Banca </w:t>
            </w:r>
            <w:r w:rsidRPr="00F85D74">
              <w:rPr>
                <w:rFonts w:asciiTheme="minorHAnsi" w:hAnsiTheme="minorHAnsi" w:cs="Arial"/>
                <w:sz w:val="20"/>
                <w:szCs w:val="20"/>
              </w:rPr>
              <w:lastRenderedPageBreak/>
              <w:t xml:space="preserve">Dati </w:t>
            </w:r>
            <w:r>
              <w:rPr>
                <w:rFonts w:asciiTheme="minorHAnsi" w:hAnsiTheme="minorHAnsi" w:cs="Arial"/>
                <w:sz w:val="20"/>
                <w:szCs w:val="20"/>
              </w:rPr>
              <w:t xml:space="preserve">ICT </w:t>
            </w:r>
            <w:r w:rsidRPr="00F85D74">
              <w:rPr>
                <w:rFonts w:asciiTheme="minorHAnsi" w:hAnsiTheme="minorHAnsi" w:cs="Arial"/>
                <w:sz w:val="20"/>
                <w:szCs w:val="20"/>
              </w:rPr>
              <w:t>e in cui potrà selezionare l’</w:t>
            </w:r>
            <w:r>
              <w:rPr>
                <w:rFonts w:asciiTheme="minorHAnsi" w:hAnsiTheme="minorHAnsi" w:cs="Arial"/>
                <w:sz w:val="20"/>
                <w:szCs w:val="20"/>
              </w:rPr>
              <w:t>a</w:t>
            </w:r>
            <w:r w:rsidRPr="00F85D74">
              <w:rPr>
                <w:rFonts w:asciiTheme="minorHAnsi" w:hAnsiTheme="minorHAnsi" w:cs="Arial"/>
                <w:sz w:val="20"/>
                <w:szCs w:val="20"/>
              </w:rPr>
              <w:t>genda dell’</w:t>
            </w:r>
            <w:r>
              <w:rPr>
                <w:rFonts w:asciiTheme="minorHAnsi" w:hAnsiTheme="minorHAnsi" w:cs="Arial"/>
                <w:sz w:val="20"/>
                <w:szCs w:val="20"/>
              </w:rPr>
              <w:t>e</w:t>
            </w:r>
            <w:r w:rsidRPr="00F85D74">
              <w:rPr>
                <w:rFonts w:asciiTheme="minorHAnsi" w:hAnsiTheme="minorHAnsi" w:cs="Arial"/>
                <w:sz w:val="20"/>
                <w:szCs w:val="20"/>
              </w:rPr>
              <w:t>vento, vedere l</w:t>
            </w:r>
            <w:r w:rsidR="00F613BA">
              <w:rPr>
                <w:rFonts w:asciiTheme="minorHAnsi" w:hAnsiTheme="minorHAnsi" w:cs="Arial"/>
                <w:sz w:val="20"/>
                <w:szCs w:val="20"/>
              </w:rPr>
              <w:t>a</w:t>
            </w:r>
            <w:r w:rsidRPr="00F85D74">
              <w:rPr>
                <w:rFonts w:asciiTheme="minorHAnsi" w:hAnsiTheme="minorHAnsi" w:cs="Arial"/>
                <w:sz w:val="20"/>
                <w:szCs w:val="20"/>
              </w:rPr>
              <w:t xml:space="preserve"> presentazione in st</w:t>
            </w:r>
            <w:r>
              <w:rPr>
                <w:rFonts w:asciiTheme="minorHAnsi" w:hAnsiTheme="minorHAnsi" w:cs="Arial"/>
                <w:sz w:val="20"/>
                <w:szCs w:val="20"/>
              </w:rPr>
              <w:t>reaming e accedervi dopo che l’e</w:t>
            </w:r>
            <w:r w:rsidRPr="00F85D74">
              <w:rPr>
                <w:rFonts w:asciiTheme="minorHAnsi" w:hAnsiTheme="minorHAnsi" w:cs="Arial"/>
                <w:sz w:val="20"/>
                <w:szCs w:val="20"/>
              </w:rPr>
              <w:t>vento</w:t>
            </w:r>
            <w:r>
              <w:rPr>
                <w:rFonts w:asciiTheme="minorHAnsi" w:hAnsiTheme="minorHAnsi" w:cs="Arial"/>
                <w:sz w:val="20"/>
                <w:szCs w:val="20"/>
              </w:rPr>
              <w:t xml:space="preserve"> sarà terminato. L’app in questione deve anche permettere di </w:t>
            </w:r>
            <w:r w:rsidRPr="00F85D74">
              <w:rPr>
                <w:rFonts w:asciiTheme="minorHAnsi" w:hAnsiTheme="minorHAnsi" w:cs="Arial"/>
                <w:sz w:val="20"/>
                <w:szCs w:val="20"/>
              </w:rPr>
              <w:t xml:space="preserve">prenotare una sessione </w:t>
            </w:r>
            <w:r>
              <w:rPr>
                <w:rFonts w:asciiTheme="minorHAnsi" w:hAnsiTheme="minorHAnsi" w:cs="Arial"/>
                <w:sz w:val="20"/>
                <w:szCs w:val="20"/>
              </w:rPr>
              <w:t xml:space="preserve">uno a uno con gli analisti. </w:t>
            </w:r>
          </w:p>
        </w:tc>
        <w:tc>
          <w:tcPr>
            <w:tcW w:w="709" w:type="dxa"/>
            <w:shd w:val="clear" w:color="auto" w:fill="auto"/>
          </w:tcPr>
          <w:p w14:paraId="29112373" w14:textId="77777777" w:rsidR="00CB4B7E" w:rsidRPr="00F55F63" w:rsidRDefault="00CB4B7E" w:rsidP="00C65594">
            <w:pPr>
              <w:spacing w:line="360" w:lineRule="auto"/>
              <w:jc w:val="both"/>
              <w:rPr>
                <w:rFonts w:asciiTheme="minorHAnsi" w:hAnsiTheme="minorHAnsi" w:cs="Arial"/>
                <w:bCs/>
                <w:i/>
                <w:sz w:val="20"/>
                <w:szCs w:val="20"/>
                <w:highlight w:val="green"/>
              </w:rPr>
            </w:pPr>
          </w:p>
        </w:tc>
      </w:tr>
    </w:tbl>
    <w:p w14:paraId="2B30DBDF" w14:textId="65C17D90" w:rsidR="00CB4B7E" w:rsidRDefault="00CB4B7E">
      <w:pPr>
        <w:spacing w:line="276" w:lineRule="auto"/>
        <w:jc w:val="both"/>
        <w:rPr>
          <w:rFonts w:asciiTheme="minorHAnsi" w:hAnsiTheme="minorHAnsi" w:cs="Arial"/>
          <w:bCs/>
          <w:sz w:val="20"/>
          <w:szCs w:val="20"/>
        </w:rPr>
      </w:pPr>
    </w:p>
    <w:p w14:paraId="4AFADFEB" w14:textId="3E17CF78" w:rsidR="00CB4B7E" w:rsidRDefault="00CB4B7E">
      <w:pPr>
        <w:spacing w:line="276" w:lineRule="auto"/>
        <w:jc w:val="both"/>
        <w:rPr>
          <w:rFonts w:asciiTheme="minorHAnsi" w:hAnsiTheme="minorHAnsi" w:cs="Arial"/>
          <w:bCs/>
          <w:sz w:val="20"/>
          <w:szCs w:val="20"/>
        </w:rPr>
      </w:pPr>
    </w:p>
    <w:p w14:paraId="442F8197" w14:textId="3E812133"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6D8B4E40" w14:textId="77777777" w:rsidR="00DC69C7" w:rsidRPr="00F613BA" w:rsidRDefault="00DC69C7">
      <w:pPr>
        <w:ind w:left="284"/>
        <w:jc w:val="both"/>
        <w:rPr>
          <w:rFonts w:asciiTheme="minorHAnsi" w:hAnsiTheme="minorHAnsi" w:cs="Arial"/>
          <w:bCs/>
          <w:sz w:val="20"/>
          <w:szCs w:val="20"/>
        </w:rPr>
      </w:pPr>
    </w:p>
    <w:p w14:paraId="1445E9A2" w14:textId="77777777" w:rsidR="00DC69C7" w:rsidRPr="00F613BA" w:rsidRDefault="00DC69C7">
      <w:pPr>
        <w:ind w:left="284"/>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DC69C7" w14:paraId="568F888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20B368"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rsidRPr="00F613BA" w14:paraId="4669EE95" w14:textId="77777777">
        <w:tc>
          <w:tcPr>
            <w:tcW w:w="2822" w:type="dxa"/>
            <w:tcBorders>
              <w:top w:val="single" w:sz="4" w:space="0" w:color="FFFFFF" w:themeColor="background1"/>
            </w:tcBorders>
            <w:shd w:val="clear" w:color="auto" w:fill="auto"/>
          </w:tcPr>
          <w:p w14:paraId="5B758486" w14:textId="77777777" w:rsidR="00DC69C7" w:rsidRPr="00F613BA" w:rsidRDefault="00522FB0">
            <w:pPr>
              <w:ind w:left="284"/>
              <w:jc w:val="center"/>
              <w:rPr>
                <w:rFonts w:asciiTheme="minorHAnsi" w:hAnsiTheme="minorHAnsi" w:cs="Arial"/>
                <w:b/>
                <w:bCs/>
                <w:sz w:val="20"/>
                <w:szCs w:val="20"/>
              </w:rPr>
            </w:pPr>
            <w:r w:rsidRPr="00F613BA">
              <w:rPr>
                <w:rFonts w:asciiTheme="minorHAnsi" w:hAnsiTheme="minorHAnsi" w:cs="Arial"/>
                <w:b/>
                <w:bCs/>
                <w:sz w:val="20"/>
                <w:szCs w:val="20"/>
              </w:rPr>
              <w:t>[Nome e Cognome]</w:t>
            </w:r>
          </w:p>
        </w:tc>
      </w:tr>
      <w:tr w:rsidR="00DC69C7" w14:paraId="6D3132B0" w14:textId="77777777">
        <w:trPr>
          <w:trHeight w:val="413"/>
        </w:trPr>
        <w:tc>
          <w:tcPr>
            <w:tcW w:w="2822" w:type="dxa"/>
            <w:shd w:val="clear" w:color="auto" w:fill="auto"/>
          </w:tcPr>
          <w:p w14:paraId="68F2A52A" w14:textId="77777777" w:rsidR="00DC69C7" w:rsidRDefault="00DC69C7">
            <w:pPr>
              <w:ind w:left="284"/>
              <w:jc w:val="both"/>
              <w:rPr>
                <w:rFonts w:ascii="Trebuchet MS" w:hAnsi="Trebuchet MS" w:cs="Arial"/>
                <w:bCs/>
                <w:i/>
                <w:sz w:val="20"/>
                <w:szCs w:val="20"/>
                <w:highlight w:val="yellow"/>
              </w:rPr>
            </w:pPr>
          </w:p>
          <w:p w14:paraId="3FB730B2" w14:textId="77777777" w:rsidR="00DC69C7" w:rsidRDefault="00DC69C7">
            <w:pPr>
              <w:ind w:left="284"/>
              <w:jc w:val="both"/>
              <w:rPr>
                <w:rFonts w:ascii="Trebuchet MS" w:hAnsi="Trebuchet MS" w:cs="Arial"/>
                <w:bCs/>
                <w:i/>
                <w:sz w:val="20"/>
                <w:szCs w:val="20"/>
                <w:highlight w:val="yellow"/>
              </w:rPr>
            </w:pPr>
          </w:p>
          <w:p w14:paraId="71D400D7"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3726A13" w14:textId="77777777"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B89E" w14:textId="77777777" w:rsidR="00FE65A8" w:rsidRDefault="00FE65A8">
      <w:r>
        <w:separator/>
      </w:r>
    </w:p>
  </w:endnote>
  <w:endnote w:type="continuationSeparator" w:id="0">
    <w:p w14:paraId="3FC79C1F" w14:textId="77777777" w:rsidR="00FE65A8" w:rsidRDefault="00FE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5B86" w14:textId="77777777" w:rsidR="00FE582E" w:rsidRDefault="00FE58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EDDEF22" w14:textId="77777777" w:rsidR="00FE582E" w:rsidRDefault="00FE58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C224" w14:textId="77777777" w:rsidR="003063FE" w:rsidRDefault="00FE582E">
    <w:pPr>
      <w:pStyle w:val="Pidipagina"/>
      <w:pBdr>
        <w:top w:val="single" w:sz="4" w:space="1" w:color="auto"/>
      </w:pBdr>
      <w:rPr>
        <w:rFonts w:asciiTheme="minorHAnsi" w:hAnsiTheme="minorHAnsi"/>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EE80D33" wp14:editId="1B1A435C">
              <wp:simplePos x="0" y="0"/>
              <wp:positionH relativeFrom="margin">
                <wp:posOffset>4712970</wp:posOffset>
              </wp:positionH>
              <wp:positionV relativeFrom="paragraph">
                <wp:posOffset>22860</wp:posOffset>
              </wp:positionV>
              <wp:extent cx="838200" cy="241300"/>
              <wp:effectExtent l="0" t="0" r="0"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1300"/>
                      </a:xfrm>
                      <a:prstGeom prst="rect">
                        <a:avLst/>
                      </a:prstGeom>
                      <a:solidFill>
                        <a:srgbClr val="FFFFFF"/>
                      </a:solidFill>
                      <a:ln w="9525">
                        <a:noFill/>
                        <a:miter lim="800000"/>
                        <a:headEnd/>
                        <a:tailEnd/>
                      </a:ln>
                    </wps:spPr>
                    <wps:txbx>
                      <w:txbxContent>
                        <w:p w14:paraId="2603677A" w14:textId="5D0CDD7F" w:rsidR="00FE582E" w:rsidRDefault="00FE582E">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C450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C450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80D33" id="_x0000_t202" coordsize="21600,21600" o:spt="202" path="m,l,21600r21600,l21600,xe">
              <v:stroke joinstyle="miter"/>
              <v:path gradientshapeok="t" o:connecttype="rect"/>
            </v:shapetype>
            <v:shape id="Casella di testo 3" o:spid="_x0000_s1026" type="#_x0000_t202" style="position:absolute;margin-left:371.1pt;margin-top:1.8pt;width:66pt;height: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" stroked="f">
              <v:textbox>
                <w:txbxContent>
                  <w:p w14:paraId="2603677A" w14:textId="5D0CDD7F" w:rsidR="00FE582E" w:rsidRDefault="00FE582E">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C450D">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C450D">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txbxContent>
              </v:textbox>
              <w10:wrap anchorx="margin"/>
            </v:shape>
          </w:pict>
        </mc:Fallback>
      </mc:AlternateContent>
    </w:r>
    <w:r>
      <w:rPr>
        <w:rFonts w:ascii="Calibri" w:hAnsi="Calibri"/>
        <w:iCs/>
        <w:sz w:val="16"/>
        <w:szCs w:val="16"/>
      </w:rPr>
      <w:t xml:space="preserve">Consip S.p.A. - </w:t>
    </w:r>
    <w:r>
      <w:rPr>
        <w:rFonts w:asciiTheme="minorHAnsi" w:hAnsiTheme="minorHAnsi"/>
        <w:sz w:val="16"/>
        <w:szCs w:val="16"/>
      </w:rPr>
      <w:t xml:space="preserve">Consultazione di mercato per l’acquisizione </w:t>
    </w:r>
    <w:r w:rsidRPr="00894214">
      <w:rPr>
        <w:rFonts w:asciiTheme="minorHAnsi" w:hAnsiTheme="minorHAnsi"/>
        <w:sz w:val="16"/>
        <w:szCs w:val="16"/>
      </w:rPr>
      <w:t xml:space="preserve">servizi di banche dati </w:t>
    </w:r>
    <w:r w:rsidR="003063FE">
      <w:rPr>
        <w:rFonts w:asciiTheme="minorHAnsi" w:hAnsiTheme="minorHAnsi"/>
        <w:sz w:val="16"/>
        <w:szCs w:val="16"/>
      </w:rPr>
      <w:t xml:space="preserve">per il supporto </w:t>
    </w:r>
  </w:p>
  <w:p w14:paraId="35F5F045" w14:textId="298FA125" w:rsidR="00FE582E" w:rsidRDefault="003063FE">
    <w:pPr>
      <w:pStyle w:val="Pidipagina"/>
      <w:pBdr>
        <w:top w:val="single" w:sz="4" w:space="1" w:color="auto"/>
      </w:pBdr>
      <w:rPr>
        <w:rFonts w:asciiTheme="minorHAnsi" w:hAnsiTheme="minorHAnsi"/>
        <w:i/>
        <w:color w:val="FF0000"/>
        <w:sz w:val="16"/>
        <w:szCs w:val="16"/>
      </w:rPr>
    </w:pPr>
    <w:r>
      <w:rPr>
        <w:rFonts w:asciiTheme="minorHAnsi" w:hAnsiTheme="minorHAnsi"/>
        <w:sz w:val="16"/>
        <w:szCs w:val="16"/>
      </w:rPr>
      <w:t xml:space="preserve">strategico </w:t>
    </w:r>
    <w:r w:rsidR="00FE582E" w:rsidRPr="00894214">
      <w:rPr>
        <w:rFonts w:asciiTheme="minorHAnsi" w:hAnsiTheme="minorHAnsi"/>
        <w:sz w:val="16"/>
        <w:szCs w:val="16"/>
      </w:rPr>
      <w:t xml:space="preserve">ICT </w:t>
    </w:r>
    <w:r>
      <w:rPr>
        <w:rFonts w:asciiTheme="minorHAnsi" w:hAnsiTheme="minorHAnsi"/>
        <w:sz w:val="16"/>
        <w:szCs w:val="16"/>
      </w:rPr>
      <w:t>per Sogei</w:t>
    </w:r>
    <w:r w:rsidR="00FE582E">
      <w:rPr>
        <w:rFonts w:asciiTheme="minorHAnsi" w:hAnsiTheme="minorHAnsi" w:cs="Arial"/>
        <w:sz w:val="20"/>
        <w:szCs w:val="20"/>
      </w:rPr>
      <w:t>.</w:t>
    </w:r>
  </w:p>
  <w:p w14:paraId="370F446F" w14:textId="77777777" w:rsidR="00FE582E" w:rsidRDefault="00FE582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1.1 - Data Aggiornamento: 29/03/2021</w:t>
    </w:r>
  </w:p>
  <w:p w14:paraId="5FC12718" w14:textId="77777777" w:rsidR="00FE582E" w:rsidRDefault="00FE582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1005BC95" w14:textId="77777777" w:rsidR="00FE582E" w:rsidRDefault="00FE582E">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47205314" w14:textId="77777777" w:rsidR="00FE582E" w:rsidRDefault="00FE582E">
    <w:pPr>
      <w:pStyle w:val="Pidipagina"/>
      <w:ind w:right="360"/>
      <w:jc w:val="both"/>
      <w:rPr>
        <w:rFonts w:ascii="Calibri" w:hAnsi="Calibri" w:cs="Arial"/>
        <w:sz w:val="16"/>
        <w:szCs w:val="16"/>
      </w:rPr>
    </w:pPr>
  </w:p>
  <w:p w14:paraId="3E2013E3" w14:textId="77777777" w:rsidR="00FE582E" w:rsidRDefault="00FE582E">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3B07" w14:textId="77777777" w:rsidR="00FE582E" w:rsidRDefault="00FE582E">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66254B31" w14:textId="77777777" w:rsidR="00FE582E" w:rsidRDefault="00FE582E">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FC273DD" w14:textId="77777777" w:rsidR="00FE582E" w:rsidRDefault="00FE582E">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1E3AFB1" w14:textId="77777777" w:rsidR="00FE582E" w:rsidRDefault="00FE582E">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6D7DAF0" w14:textId="77777777" w:rsidR="00FE582E" w:rsidRDefault="00FE582E">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346D6" w14:textId="77777777" w:rsidR="00FE65A8" w:rsidRDefault="00FE65A8">
      <w:r>
        <w:separator/>
      </w:r>
    </w:p>
  </w:footnote>
  <w:footnote w:type="continuationSeparator" w:id="0">
    <w:p w14:paraId="02748323" w14:textId="77777777" w:rsidR="00FE65A8" w:rsidRDefault="00FE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392E" w14:textId="77777777" w:rsidR="00FE582E" w:rsidRDefault="00FE582E">
    <w:pPr>
      <w:pStyle w:val="Intestazione"/>
    </w:pPr>
    <w:r>
      <w:rPr>
        <w:noProof/>
      </w:rPr>
      <w:drawing>
        <wp:anchor distT="0" distB="0" distL="114300" distR="114300" simplePos="0" relativeHeight="251654144" behindDoc="1" locked="0" layoutInCell="1" allowOverlap="1" wp14:anchorId="0BBBE9D0" wp14:editId="43058EE7">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B4E9" w14:textId="77777777" w:rsidR="00FE582E" w:rsidRDefault="00FE582E">
    <w:pPr>
      <w:pStyle w:val="Intestazione"/>
    </w:pPr>
    <w:r>
      <w:rPr>
        <w:noProof/>
      </w:rPr>
      <w:drawing>
        <wp:anchor distT="0" distB="0" distL="114300" distR="114300" simplePos="0" relativeHeight="251656192" behindDoc="1" locked="0" layoutInCell="1" allowOverlap="1" wp14:anchorId="4748128D" wp14:editId="32FC94DF">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C436" w14:textId="77777777" w:rsidR="00FE582E" w:rsidRDefault="00FE582E">
    <w:pPr>
      <w:pStyle w:val="Intestazione"/>
    </w:pPr>
    <w:r>
      <w:rPr>
        <w:noProof/>
      </w:rPr>
      <w:drawing>
        <wp:anchor distT="0" distB="0" distL="114300" distR="114300" simplePos="0" relativeHeight="251655168" behindDoc="1" locked="0" layoutInCell="1" allowOverlap="1" wp14:anchorId="41266FB2" wp14:editId="7A97E39D">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12"/>
    <w:multiLevelType w:val="hybridMultilevel"/>
    <w:tmpl w:val="73F64914"/>
    <w:lvl w:ilvl="0" w:tplc="8F38F9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B8F55A0"/>
    <w:multiLevelType w:val="hybridMultilevel"/>
    <w:tmpl w:val="3DC4FA38"/>
    <w:lvl w:ilvl="0" w:tplc="8F38F9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06BF2"/>
    <w:multiLevelType w:val="hybridMultilevel"/>
    <w:tmpl w:val="AA1A22C4"/>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0E704D"/>
    <w:multiLevelType w:val="hybridMultilevel"/>
    <w:tmpl w:val="F4343654"/>
    <w:lvl w:ilvl="0" w:tplc="8F38F9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943B99"/>
    <w:multiLevelType w:val="hybridMultilevel"/>
    <w:tmpl w:val="9A308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0"/>
  </w:num>
  <w:num w:numId="15">
    <w:abstractNumId w:val="2"/>
  </w:num>
  <w:num w:numId="16">
    <w:abstractNumId w:val="9"/>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16533"/>
    <w:rsid w:val="00074AEA"/>
    <w:rsid w:val="000C7814"/>
    <w:rsid w:val="000D1487"/>
    <w:rsid w:val="000F0A6E"/>
    <w:rsid w:val="0010791C"/>
    <w:rsid w:val="00135BF2"/>
    <w:rsid w:val="00167FB3"/>
    <w:rsid w:val="001760E4"/>
    <w:rsid w:val="001842CF"/>
    <w:rsid w:val="001F64A2"/>
    <w:rsid w:val="002F145E"/>
    <w:rsid w:val="003063FE"/>
    <w:rsid w:val="00306930"/>
    <w:rsid w:val="00322134"/>
    <w:rsid w:val="00332B30"/>
    <w:rsid w:val="003341E7"/>
    <w:rsid w:val="003355E3"/>
    <w:rsid w:val="00351B53"/>
    <w:rsid w:val="003B3A20"/>
    <w:rsid w:val="00443AAF"/>
    <w:rsid w:val="00482645"/>
    <w:rsid w:val="00495574"/>
    <w:rsid w:val="00507CC1"/>
    <w:rsid w:val="00511906"/>
    <w:rsid w:val="00522FB0"/>
    <w:rsid w:val="0052543F"/>
    <w:rsid w:val="00540613"/>
    <w:rsid w:val="005A02F2"/>
    <w:rsid w:val="005A1A82"/>
    <w:rsid w:val="005E6741"/>
    <w:rsid w:val="005F0542"/>
    <w:rsid w:val="0060684F"/>
    <w:rsid w:val="00664041"/>
    <w:rsid w:val="00665528"/>
    <w:rsid w:val="00673A48"/>
    <w:rsid w:val="006A755A"/>
    <w:rsid w:val="006C450D"/>
    <w:rsid w:val="006E7B64"/>
    <w:rsid w:val="006F206C"/>
    <w:rsid w:val="006F6E43"/>
    <w:rsid w:val="00733A0A"/>
    <w:rsid w:val="0075179A"/>
    <w:rsid w:val="00756A49"/>
    <w:rsid w:val="00817C8A"/>
    <w:rsid w:val="00851EDE"/>
    <w:rsid w:val="00894214"/>
    <w:rsid w:val="008A58AF"/>
    <w:rsid w:val="008B350D"/>
    <w:rsid w:val="008B6161"/>
    <w:rsid w:val="008C0534"/>
    <w:rsid w:val="008D1A51"/>
    <w:rsid w:val="008E3805"/>
    <w:rsid w:val="0090255B"/>
    <w:rsid w:val="00927166"/>
    <w:rsid w:val="009429EB"/>
    <w:rsid w:val="00952037"/>
    <w:rsid w:val="00956599"/>
    <w:rsid w:val="00987C0B"/>
    <w:rsid w:val="00987D08"/>
    <w:rsid w:val="00991A1D"/>
    <w:rsid w:val="009C03B0"/>
    <w:rsid w:val="009C3388"/>
    <w:rsid w:val="009C344A"/>
    <w:rsid w:val="009C5225"/>
    <w:rsid w:val="009F5798"/>
    <w:rsid w:val="009F5D42"/>
    <w:rsid w:val="00A01B06"/>
    <w:rsid w:val="00A02608"/>
    <w:rsid w:val="00A73C80"/>
    <w:rsid w:val="00AB2032"/>
    <w:rsid w:val="00AB70E2"/>
    <w:rsid w:val="00B06A30"/>
    <w:rsid w:val="00BE51C5"/>
    <w:rsid w:val="00C16442"/>
    <w:rsid w:val="00C34262"/>
    <w:rsid w:val="00C40350"/>
    <w:rsid w:val="00C47BD5"/>
    <w:rsid w:val="00C754C1"/>
    <w:rsid w:val="00C77BD2"/>
    <w:rsid w:val="00C9316F"/>
    <w:rsid w:val="00CB4B7E"/>
    <w:rsid w:val="00CC50D1"/>
    <w:rsid w:val="00CF2B76"/>
    <w:rsid w:val="00D04EBF"/>
    <w:rsid w:val="00D144AD"/>
    <w:rsid w:val="00D95DB5"/>
    <w:rsid w:val="00DA1969"/>
    <w:rsid w:val="00DC5367"/>
    <w:rsid w:val="00DC69C7"/>
    <w:rsid w:val="00DC6CE2"/>
    <w:rsid w:val="00DE7E39"/>
    <w:rsid w:val="00E068F1"/>
    <w:rsid w:val="00E3421D"/>
    <w:rsid w:val="00E37BEC"/>
    <w:rsid w:val="00EE7445"/>
    <w:rsid w:val="00F17E02"/>
    <w:rsid w:val="00F22102"/>
    <w:rsid w:val="00F613BA"/>
    <w:rsid w:val="00F742DB"/>
    <w:rsid w:val="00F85D74"/>
    <w:rsid w:val="00FB5323"/>
    <w:rsid w:val="00FB55CF"/>
    <w:rsid w:val="00FE582E"/>
    <w:rsid w:val="00FE65A8"/>
    <w:rsid w:val="00FF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6930"/>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CE1C-1EE8-4734-9E76-3195D2D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5962</Words>
  <Characters>33987</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2021-09-03T07:37:00Z</dcterms:created>
  <dcterms:modified xsi:type="dcterms:W3CDTF">2021-09-03T09:11:00Z</dcterms:modified>
</cp:coreProperties>
</file>